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AA7C0">
      <w:pPr>
        <w:jc w:val="center"/>
        <w:rPr>
          <w:rFonts w:hint="eastAsia" w:eastAsia="宋体"/>
          <w:b/>
          <w:bCs/>
          <w:sz w:val="40"/>
          <w:szCs w:val="36"/>
          <w:lang w:val="en-US" w:eastAsia="zh-CN"/>
        </w:rPr>
      </w:pPr>
      <w:r>
        <w:rPr>
          <w:rFonts w:hint="eastAsia"/>
          <w:b/>
          <w:bCs/>
          <w:sz w:val="40"/>
          <w:szCs w:val="36"/>
          <w:lang w:val="en-US" w:eastAsia="zh-CN"/>
        </w:rPr>
        <w:t>采购需求</w:t>
      </w:r>
    </w:p>
    <w:p w14:paraId="3C17EC7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default" w:ascii="仿宋_GB2312" w:hAnsi="仿宋" w:eastAsia="仿宋_GB2312" w:cs="Times New Roman"/>
          <w:b w:val="0"/>
          <w:bCs w:val="0"/>
          <w:color w:val="000000"/>
          <w:sz w:val="28"/>
          <w:szCs w:val="28"/>
          <w:highlight w:val="none"/>
          <w:lang w:val="en-US" w:eastAsia="zh-CN"/>
        </w:rPr>
      </w:pPr>
      <w:bookmarkStart w:id="0" w:name="_Toc139641332"/>
      <w:r>
        <w:rPr>
          <w:rFonts w:hint="eastAsia" w:ascii="仿宋_GB2312" w:hAnsi="仿宋" w:eastAsia="仿宋_GB2312" w:cs="Times New Roman"/>
          <w:b/>
          <w:bCs/>
          <w:color w:val="000000"/>
          <w:sz w:val="28"/>
          <w:szCs w:val="28"/>
          <w:highlight w:val="none"/>
          <w:lang w:val="en-US" w:eastAsia="zh-CN"/>
        </w:rPr>
        <w:t>一、</w:t>
      </w:r>
      <w:bookmarkEnd w:id="0"/>
      <w:r>
        <w:rPr>
          <w:rFonts w:hint="eastAsia" w:ascii="仿宋_GB2312" w:hAnsi="仿宋" w:eastAsia="仿宋_GB2312" w:cs="Times New Roman"/>
          <w:b/>
          <w:bCs/>
          <w:color w:val="000000"/>
          <w:sz w:val="28"/>
          <w:szCs w:val="28"/>
          <w:highlight w:val="none"/>
          <w:lang w:val="en-US" w:eastAsia="zh-CN"/>
        </w:rPr>
        <w:t>项目概况</w:t>
      </w:r>
    </w:p>
    <w:p w14:paraId="2D83B92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能源金贸片区44亩拟供应地块土地整理项目。</w:t>
      </w:r>
    </w:p>
    <w:p w14:paraId="33FE531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9"/>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本项目最高限价为</w:t>
      </w:r>
      <w:r>
        <w:rPr>
          <w:rFonts w:hint="eastAsia" w:ascii="仿宋_GB2312" w:hAnsi="宋体" w:eastAsia="仿宋_GB2312" w:cs="Times New Roman"/>
          <w:b/>
          <w:bCs/>
          <w:color w:val="000000"/>
          <w:sz w:val="28"/>
          <w:szCs w:val="28"/>
          <w:highlight w:val="none"/>
          <w:lang w:val="en-US" w:eastAsia="zh-CN"/>
        </w:rPr>
        <w:t>200.59万元。</w:t>
      </w:r>
    </w:p>
    <w:p w14:paraId="7178D154">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default"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二、具体工程内容</w:t>
      </w:r>
    </w:p>
    <w:p w14:paraId="688E52D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default"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主要内容为对位于沣湾四路以南、石化大道以北、金科三路以西、金科四路以东的拟供应地块进行土地整理，主要包含10KV线路迁改、现状道路破除及土方清理等内容（不含该地块内110KV高压铁塔拆除及信号塔迁改）。</w:t>
      </w:r>
    </w:p>
    <w:p w14:paraId="209D27AB">
      <w:pPr>
        <w:keepNext w:val="0"/>
        <w:keepLines w:val="0"/>
        <w:pageBreakBefore w:val="0"/>
        <w:widowControl w:val="0"/>
        <w:kinsoku/>
        <w:wordWrap/>
        <w:overflowPunct/>
        <w:topLinePunct w:val="0"/>
        <w:bidi w:val="0"/>
        <w:adjustRightInd w:val="0"/>
        <w:snapToGrid w:val="0"/>
        <w:spacing w:line="360" w:lineRule="auto"/>
        <w:ind w:firstLine="562" w:firstLineChars="200"/>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三、工程量清单及图纸（详见附件）。</w:t>
      </w:r>
    </w:p>
    <w:p w14:paraId="101D3A99">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四、商务要求</w:t>
      </w:r>
    </w:p>
    <w:p w14:paraId="48FF07F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（一）工期：自合同签订之日起20个日历天。</w:t>
      </w:r>
    </w:p>
    <w:p w14:paraId="7318EFB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（二）施工地点：</w:t>
      </w:r>
      <w:r>
        <w:rPr>
          <w:rFonts w:hint="eastAsia" w:ascii="仿宋_GB2312" w:hAnsi="仿宋" w:eastAsia="仿宋_GB2312"/>
          <w:bCs/>
          <w:sz w:val="28"/>
          <w:szCs w:val="28"/>
          <w:highlight w:val="none"/>
          <w:lang w:val="en-US" w:eastAsia="zh-CN"/>
        </w:rPr>
        <w:t>具体以采购人</w:t>
      </w:r>
      <w:r>
        <w:rPr>
          <w:rFonts w:hint="eastAsia" w:ascii="仿宋_GB2312" w:hAnsi="仿宋" w:eastAsia="仿宋_GB2312"/>
          <w:bCs/>
          <w:sz w:val="28"/>
          <w:szCs w:val="28"/>
          <w:highlight w:val="none"/>
        </w:rPr>
        <w:t>指定地点</w:t>
      </w:r>
      <w:r>
        <w:rPr>
          <w:rFonts w:hint="eastAsia" w:ascii="仿宋_GB2312" w:hAnsi="仿宋" w:eastAsia="仿宋_GB2312"/>
          <w:bCs/>
          <w:sz w:val="28"/>
          <w:szCs w:val="28"/>
          <w:highlight w:val="none"/>
          <w:lang w:val="en-US" w:eastAsia="zh-CN"/>
        </w:rPr>
        <w:t>为准</w:t>
      </w:r>
      <w:r>
        <w:rPr>
          <w:rFonts w:hint="eastAsia" w:ascii="仿宋_GB2312" w:hAnsi="仿宋" w:eastAsia="仿宋_GB2312" w:cs="Times New Roman"/>
          <w:b w:val="0"/>
          <w:bCs w:val="0"/>
          <w:color w:val="000000"/>
          <w:sz w:val="28"/>
          <w:szCs w:val="28"/>
          <w:highlight w:val="none"/>
          <w:lang w:val="en-US" w:eastAsia="zh-CN"/>
        </w:rPr>
        <w:t>。</w:t>
      </w:r>
    </w:p>
    <w:p w14:paraId="3DB25D9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2" w:firstLineChars="200"/>
        <w:jc w:val="both"/>
        <w:textAlignment w:val="auto"/>
        <w:outlineLvl w:val="1"/>
        <w:rPr>
          <w:rFonts w:hint="eastAsia" w:ascii="仿宋_GB2312" w:hAnsi="仿宋" w:eastAsia="仿宋_GB2312" w:cs="Times New Roman"/>
          <w:b/>
          <w:bCs/>
          <w:color w:val="000000"/>
          <w:sz w:val="28"/>
          <w:szCs w:val="28"/>
          <w:highlight w:val="none"/>
          <w:lang w:val="en-US" w:eastAsia="zh-CN"/>
        </w:rPr>
      </w:pPr>
      <w:r>
        <w:rPr>
          <w:rFonts w:hint="eastAsia" w:ascii="仿宋_GB2312" w:hAnsi="仿宋" w:eastAsia="仿宋_GB2312" w:cs="Times New Roman"/>
          <w:b/>
          <w:bCs/>
          <w:color w:val="000000"/>
          <w:sz w:val="28"/>
          <w:szCs w:val="28"/>
          <w:highlight w:val="none"/>
          <w:lang w:val="en-US" w:eastAsia="zh-CN"/>
        </w:rPr>
        <w:t>五、其他要求</w:t>
      </w:r>
    </w:p>
    <w:p w14:paraId="7929A8E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（一）工程质量标准：符合国家现行有关施工质量验收规范“合格”要求。</w:t>
      </w:r>
    </w:p>
    <w:p w14:paraId="53619757">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（二）承包方式</w:t>
      </w:r>
    </w:p>
    <w:p w14:paraId="3E6C77A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1、承包方式为包工包料。本工程所需材料必须符合产品质量及规范要求，并按规定进行材料复验，并能满足项目设计要求及有关行业特殊使用要求。</w:t>
      </w:r>
    </w:p>
    <w:p w14:paraId="7C01188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2、所有材料、成品均应有产品合格证及检验报告，须经采购人代表检查验收，报验合格后方可进场，无质量证明文件的产品不得用于本项目。</w:t>
      </w:r>
    </w:p>
    <w:p w14:paraId="1CD6C96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default" w:ascii="仿宋_GB2312" w:hAnsi="仿宋" w:eastAsia="仿宋_GB2312" w:cs="Times New Roman"/>
          <w:b w:val="0"/>
          <w:bCs w:val="0"/>
          <w:color w:val="000000"/>
          <w:sz w:val="28"/>
          <w:szCs w:val="28"/>
          <w:highlight w:val="none"/>
          <w:lang w:val="en-US" w:eastAsia="zh-CN"/>
        </w:rPr>
      </w:pPr>
      <w:r>
        <w:rPr>
          <w:rFonts w:hint="eastAsia" w:ascii="仿宋_GB2312" w:hAnsi="仿宋" w:eastAsia="仿宋_GB2312" w:cs="Times New Roman"/>
          <w:b w:val="0"/>
          <w:bCs w:val="0"/>
          <w:color w:val="000000"/>
          <w:sz w:val="28"/>
          <w:szCs w:val="28"/>
          <w:highlight w:val="none"/>
          <w:lang w:val="en-US" w:eastAsia="zh-CN"/>
        </w:rPr>
        <w:t>（三）验收方案</w:t>
      </w:r>
    </w:p>
    <w:p w14:paraId="4B8B907B">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宋体" w:eastAsia="仿宋_GB2312" w:cs="仿宋_GB2312"/>
          <w:sz w:val="28"/>
          <w:szCs w:val="28"/>
          <w:highlight w:val="none"/>
          <w:lang w:val="zh-CN"/>
        </w:rPr>
      </w:pPr>
      <w:r>
        <w:rPr>
          <w:rFonts w:hint="eastAsia" w:ascii="仿宋_GB2312" w:hAnsi="宋体" w:eastAsia="仿宋_GB2312" w:cs="仿宋_GB2312"/>
          <w:sz w:val="28"/>
          <w:szCs w:val="28"/>
          <w:highlight w:val="none"/>
          <w:lang w:val="en-US" w:eastAsia="zh-CN"/>
        </w:rPr>
        <w:t>1、成交供应商</w:t>
      </w:r>
      <w:r>
        <w:rPr>
          <w:rFonts w:hint="eastAsia" w:ascii="仿宋_GB2312" w:hAnsi="宋体" w:eastAsia="仿宋_GB2312" w:cs="仿宋_GB2312"/>
          <w:sz w:val="28"/>
          <w:szCs w:val="28"/>
          <w:highlight w:val="none"/>
          <w:lang w:val="zh-CN"/>
        </w:rPr>
        <w:t>工程完工后，进行自检，合格后准备验收文件，并书面通知</w:t>
      </w:r>
      <w:r>
        <w:rPr>
          <w:rFonts w:hint="eastAsia" w:ascii="仿宋_GB2312" w:hAnsi="仿宋" w:eastAsia="仿宋_GB2312" w:cs="Times New Roman"/>
          <w:b w:val="0"/>
          <w:bCs w:val="0"/>
          <w:color w:val="000000"/>
          <w:sz w:val="28"/>
          <w:szCs w:val="28"/>
          <w:highlight w:val="none"/>
          <w:lang w:val="en-US" w:eastAsia="zh-CN"/>
        </w:rPr>
        <w:t>采购人</w:t>
      </w:r>
      <w:r>
        <w:rPr>
          <w:rFonts w:hint="eastAsia" w:ascii="仿宋_GB2312" w:hAnsi="宋体" w:eastAsia="仿宋_GB2312" w:cs="仿宋_GB2312"/>
          <w:sz w:val="28"/>
          <w:szCs w:val="28"/>
          <w:highlight w:val="none"/>
          <w:lang w:val="zh-CN"/>
        </w:rPr>
        <w:t>。</w:t>
      </w:r>
    </w:p>
    <w:p w14:paraId="7391D366">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ins w:id="0" w:author="one兔three" w:date="2026-09-28T14:58:00Z"/>
          <w:rFonts w:hint="default" w:ascii="仿宋_GB2312" w:hAnsi="宋体" w:eastAsia="仿宋_GB2312" w:cs="仿宋_GB2312"/>
          <w:sz w:val="28"/>
          <w:szCs w:val="28"/>
          <w:highlight w:val="none"/>
          <w:lang w:val="en-US" w:eastAsia="zh-CN"/>
        </w:rPr>
      </w:pPr>
      <w:r>
        <w:rPr>
          <w:rFonts w:hint="default" w:ascii="仿宋_GB2312" w:hAnsi="宋体" w:eastAsia="仿宋_GB2312" w:cs="仿宋_GB2312"/>
          <w:sz w:val="28"/>
          <w:szCs w:val="28"/>
          <w:highlight w:val="none"/>
          <w:lang w:val="en-US" w:eastAsia="zh-CN"/>
        </w:rPr>
        <w:t>2</w:t>
      </w:r>
      <w:r>
        <w:rPr>
          <w:rFonts w:hint="eastAsia" w:ascii="仿宋_GB2312" w:hAnsi="宋体" w:eastAsia="仿宋_GB2312" w:cs="仿宋_GB2312"/>
          <w:sz w:val="28"/>
          <w:szCs w:val="28"/>
          <w:highlight w:val="none"/>
          <w:lang w:val="en-US" w:eastAsia="zh-CN"/>
        </w:rPr>
        <w:t>、</w:t>
      </w:r>
      <w:r>
        <w:rPr>
          <w:rFonts w:hint="default" w:ascii="仿宋_GB2312" w:hAnsi="宋体" w:eastAsia="仿宋_GB2312" w:cs="仿宋_GB2312"/>
          <w:sz w:val="28"/>
          <w:szCs w:val="28"/>
          <w:highlight w:val="none"/>
          <w:lang w:val="en-US" w:eastAsia="zh-CN"/>
        </w:rPr>
        <w:t>电力迁改部分，成交供应商应按约定的期限完成迁改，并负责做好迁改施工全过程工程质量、安全、进度等管理工作。负责按照拟迁改线路产权单位、国家电网公司及相关法律法规要求，编制迁改施工方案、制定和报送迁改停电计划，并按要求编制和报送完整施工、竣工等相关资料，保证拆除后废旧物资回收的完整性。线路迁改完成后，需组织并取得产权单位、国家电网公司等相关单位验收合格文件，确保线路正常通电投运，并按要求做好废旧资产和迁改后新建的电力设施资产交付原产权单位或国家电网公司，完善相关移交手续，确保线路运行和维护管理等工作正常开展。</w:t>
      </w:r>
    </w:p>
    <w:p w14:paraId="40869E48">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宋体" w:eastAsia="仿宋_GB2312" w:cs="仿宋_GB2312"/>
          <w:sz w:val="28"/>
          <w:szCs w:val="28"/>
          <w:highlight w:val="none"/>
          <w:lang w:val="zh-CN"/>
        </w:rPr>
      </w:pPr>
      <w:r>
        <w:rPr>
          <w:rFonts w:hint="eastAsia" w:ascii="仿宋_GB2312" w:hAnsi="宋体" w:eastAsia="仿宋_GB2312" w:cs="仿宋_GB2312"/>
          <w:sz w:val="28"/>
          <w:szCs w:val="28"/>
          <w:highlight w:val="none"/>
          <w:lang w:val="en-US" w:eastAsia="zh-CN"/>
        </w:rPr>
        <w:t>3、</w:t>
      </w:r>
      <w:r>
        <w:rPr>
          <w:rFonts w:hint="eastAsia" w:ascii="仿宋_GB2312" w:hAnsi="仿宋" w:eastAsia="仿宋_GB2312" w:cs="Times New Roman"/>
          <w:b w:val="0"/>
          <w:bCs w:val="0"/>
          <w:color w:val="000000"/>
          <w:sz w:val="28"/>
          <w:szCs w:val="28"/>
          <w:highlight w:val="none"/>
          <w:lang w:val="en-US" w:eastAsia="zh-CN"/>
        </w:rPr>
        <w:t>采购人</w:t>
      </w:r>
      <w:r>
        <w:rPr>
          <w:rFonts w:hint="eastAsia" w:ascii="仿宋_GB2312" w:hAnsi="宋体" w:eastAsia="仿宋_GB2312" w:cs="仿宋_GB2312"/>
          <w:sz w:val="28"/>
          <w:szCs w:val="28"/>
          <w:highlight w:val="none"/>
          <w:lang w:val="zh-CN"/>
        </w:rPr>
        <w:t>确认</w:t>
      </w:r>
      <w:r>
        <w:rPr>
          <w:rFonts w:hint="eastAsia" w:ascii="仿宋_GB2312" w:hAnsi="宋体" w:eastAsia="仿宋_GB2312" w:cs="仿宋_GB2312"/>
          <w:sz w:val="28"/>
          <w:szCs w:val="28"/>
          <w:highlight w:val="none"/>
          <w:lang w:val="en-US" w:eastAsia="zh-CN"/>
        </w:rPr>
        <w:t>成交供应商</w:t>
      </w:r>
      <w:r>
        <w:rPr>
          <w:rFonts w:hint="eastAsia" w:ascii="仿宋_GB2312" w:hAnsi="宋体" w:eastAsia="仿宋_GB2312" w:cs="仿宋_GB2312"/>
          <w:sz w:val="28"/>
          <w:szCs w:val="28"/>
          <w:highlight w:val="none"/>
          <w:lang w:val="zh-CN"/>
        </w:rPr>
        <w:t>的自检内容，验收合格作为工程的最终认可。</w:t>
      </w:r>
    </w:p>
    <w:p w14:paraId="5D85B3DA">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宋体" w:eastAsia="仿宋_GB2312" w:cs="仿宋_GB2312"/>
          <w:sz w:val="28"/>
          <w:szCs w:val="28"/>
          <w:highlight w:val="none"/>
          <w:lang w:val="zh-CN"/>
        </w:rPr>
      </w:pPr>
      <w:r>
        <w:rPr>
          <w:rFonts w:hint="eastAsia" w:ascii="仿宋_GB2312" w:hAnsi="宋体" w:eastAsia="仿宋_GB2312" w:cs="仿宋_GB2312"/>
          <w:sz w:val="28"/>
          <w:szCs w:val="28"/>
          <w:highlight w:val="none"/>
          <w:lang w:val="en-US" w:eastAsia="zh-CN"/>
        </w:rPr>
        <w:t>4、</w:t>
      </w:r>
      <w:r>
        <w:rPr>
          <w:rFonts w:hint="eastAsia" w:ascii="仿宋_GB2312" w:hAnsi="宋体" w:eastAsia="仿宋_GB2312" w:cs="仿宋_GB2312"/>
          <w:sz w:val="28"/>
          <w:szCs w:val="28"/>
          <w:highlight w:val="none"/>
          <w:lang w:val="zh-CN"/>
        </w:rPr>
        <w:t>验收依据：</w:t>
      </w:r>
    </w:p>
    <w:p w14:paraId="54A6CE19">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宋体" w:eastAsia="仿宋_GB2312" w:cs="仿宋_GB2312"/>
          <w:sz w:val="28"/>
          <w:szCs w:val="28"/>
          <w:highlight w:val="none"/>
          <w:lang w:val="zh-CN"/>
        </w:rPr>
      </w:pPr>
      <w:r>
        <w:rPr>
          <w:rFonts w:hint="eastAsia" w:ascii="仿宋_GB2312" w:hAnsi="宋体" w:eastAsia="仿宋_GB2312" w:cs="仿宋_GB2312"/>
          <w:sz w:val="28"/>
          <w:szCs w:val="28"/>
          <w:highlight w:val="none"/>
          <w:lang w:val="zh-CN"/>
        </w:rPr>
        <w:t>（</w:t>
      </w:r>
      <w:r>
        <w:rPr>
          <w:rFonts w:hint="eastAsia" w:ascii="仿宋_GB2312" w:hAnsi="宋体" w:eastAsia="仿宋_GB2312" w:cs="仿宋_GB2312"/>
          <w:sz w:val="28"/>
          <w:szCs w:val="28"/>
          <w:highlight w:val="none"/>
          <w:lang w:val="en-US" w:eastAsia="zh-CN"/>
        </w:rPr>
        <w:t>1</w:t>
      </w:r>
      <w:r>
        <w:rPr>
          <w:rFonts w:hint="eastAsia" w:ascii="仿宋_GB2312" w:hAnsi="宋体" w:eastAsia="仿宋_GB2312" w:cs="仿宋_GB2312"/>
          <w:sz w:val="28"/>
          <w:szCs w:val="28"/>
          <w:highlight w:val="none"/>
          <w:lang w:val="zh-CN"/>
        </w:rPr>
        <w:t>）</w:t>
      </w:r>
      <w:r>
        <w:rPr>
          <w:rFonts w:hint="eastAsia" w:ascii="仿宋_GB2312" w:hAnsi="宋体" w:eastAsia="仿宋_GB2312" w:cs="仿宋_GB2312"/>
          <w:sz w:val="28"/>
          <w:szCs w:val="28"/>
          <w:highlight w:val="none"/>
          <w:lang w:val="zh-CN" w:eastAsia="zh-CN"/>
        </w:rPr>
        <w:t>合同、</w:t>
      </w:r>
      <w:r>
        <w:rPr>
          <w:rFonts w:hint="eastAsia" w:ascii="仿宋_GB2312" w:hAnsi="宋体" w:eastAsia="仿宋_GB2312" w:cs="仿宋_GB2312"/>
          <w:sz w:val="28"/>
          <w:szCs w:val="28"/>
          <w:highlight w:val="none"/>
          <w:lang w:val="en-US" w:eastAsia="zh-CN"/>
        </w:rPr>
        <w:t>磋商</w:t>
      </w:r>
      <w:r>
        <w:rPr>
          <w:rFonts w:hint="eastAsia" w:ascii="仿宋_GB2312" w:hAnsi="宋体" w:eastAsia="仿宋_GB2312" w:cs="仿宋_GB2312"/>
          <w:sz w:val="28"/>
          <w:szCs w:val="28"/>
          <w:highlight w:val="none"/>
          <w:lang w:val="zh-CN" w:eastAsia="zh-CN"/>
        </w:rPr>
        <w:t>文件、响应文件及承诺</w:t>
      </w:r>
      <w:r>
        <w:rPr>
          <w:rFonts w:hint="eastAsia" w:ascii="仿宋_GB2312" w:hAnsi="宋体" w:eastAsia="仿宋_GB2312" w:cs="仿宋_GB2312"/>
          <w:sz w:val="28"/>
          <w:szCs w:val="28"/>
          <w:highlight w:val="none"/>
          <w:lang w:val="zh-CN"/>
        </w:rPr>
        <w:t>。</w:t>
      </w:r>
    </w:p>
    <w:p w14:paraId="532B1E59">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right="0" w:firstLine="560" w:firstLineChars="200"/>
        <w:jc w:val="both"/>
        <w:textAlignment w:val="auto"/>
        <w:outlineLvl w:val="9"/>
        <w:rPr>
          <w:rFonts w:hint="eastAsia" w:ascii="仿宋_GB2312" w:hAnsi="宋体" w:eastAsia="仿宋_GB2312" w:cs="仿宋_GB2312"/>
          <w:sz w:val="28"/>
          <w:szCs w:val="28"/>
          <w:highlight w:val="none"/>
          <w:lang w:val="zh-CN"/>
        </w:rPr>
      </w:pPr>
      <w:r>
        <w:rPr>
          <w:rFonts w:hint="eastAsia" w:ascii="仿宋_GB2312" w:hAnsi="宋体" w:eastAsia="仿宋_GB2312" w:cs="仿宋_GB2312"/>
          <w:sz w:val="28"/>
          <w:szCs w:val="28"/>
          <w:highlight w:val="none"/>
          <w:lang w:val="zh-CN"/>
        </w:rPr>
        <w:t>（</w:t>
      </w:r>
      <w:r>
        <w:rPr>
          <w:rFonts w:hint="eastAsia" w:ascii="仿宋_GB2312" w:hAnsi="宋体" w:eastAsia="仿宋_GB2312" w:cs="仿宋_GB2312"/>
          <w:sz w:val="28"/>
          <w:szCs w:val="28"/>
          <w:highlight w:val="none"/>
          <w:lang w:val="en-US" w:eastAsia="zh-CN"/>
        </w:rPr>
        <w:t>2</w:t>
      </w:r>
      <w:r>
        <w:rPr>
          <w:rFonts w:hint="eastAsia" w:ascii="仿宋_GB2312" w:hAnsi="宋体" w:eastAsia="仿宋_GB2312" w:cs="仿宋_GB2312"/>
          <w:sz w:val="28"/>
          <w:szCs w:val="28"/>
          <w:highlight w:val="none"/>
          <w:lang w:val="zh-CN"/>
        </w:rPr>
        <w:t>）</w:t>
      </w:r>
      <w:r>
        <w:rPr>
          <w:rFonts w:hint="eastAsia" w:ascii="仿宋_GB2312" w:hAnsi="宋体" w:eastAsia="仿宋_GB2312" w:cs="仿宋_GB2312"/>
          <w:sz w:val="28"/>
          <w:szCs w:val="28"/>
          <w:highlight w:val="none"/>
          <w:lang w:val="zh-CN" w:eastAsia="zh-CN"/>
        </w:rPr>
        <w:t>本工程</w:t>
      </w:r>
      <w:r>
        <w:rPr>
          <w:rFonts w:hint="eastAsia" w:ascii="仿宋_GB2312" w:hAnsi="宋体" w:eastAsia="仿宋_GB2312" w:cs="仿宋_GB2312"/>
          <w:sz w:val="28"/>
          <w:szCs w:val="28"/>
          <w:highlight w:val="none"/>
          <w:lang w:val="en-US" w:eastAsia="zh-CN"/>
        </w:rPr>
        <w:t>的工程量清单</w:t>
      </w:r>
      <w:r>
        <w:rPr>
          <w:rFonts w:hint="eastAsia" w:ascii="仿宋_GB2312" w:hAnsi="宋体" w:eastAsia="仿宋_GB2312" w:cs="仿宋_GB2312"/>
          <w:sz w:val="28"/>
          <w:szCs w:val="28"/>
          <w:highlight w:val="none"/>
          <w:lang w:val="zh-CN" w:eastAsia="zh-CN"/>
        </w:rPr>
        <w:t>、作法说明、设计变更等。</w:t>
      </w:r>
    </w:p>
    <w:p w14:paraId="30AC3EA1">
      <w:pPr>
        <w:keepNext w:val="0"/>
        <w:keepLines w:val="0"/>
        <w:pageBreakBefore w:val="0"/>
        <w:widowControl w:val="0"/>
        <w:kinsoku/>
        <w:wordWrap/>
        <w:overflowPunct/>
        <w:topLinePunct w:val="0"/>
        <w:bidi w:val="0"/>
        <w:adjustRightInd w:val="0"/>
        <w:snapToGrid w:val="0"/>
        <w:spacing w:line="360" w:lineRule="auto"/>
        <w:ind w:firstLine="560" w:firstLineChars="200"/>
        <w:textAlignment w:val="auto"/>
        <w:rPr>
          <w:rFonts w:hint="eastAsia" w:ascii="仿宋_GB2312" w:hAnsi="仿宋" w:eastAsia="仿宋_GB2312" w:cs="Times New Roman"/>
          <w:color w:val="000000"/>
          <w:sz w:val="28"/>
          <w:szCs w:val="28"/>
          <w:highlight w:val="none"/>
          <w:lang w:val="en-US" w:eastAsia="zh-CN"/>
        </w:rPr>
      </w:pPr>
      <w:r>
        <w:rPr>
          <w:rFonts w:hint="eastAsia" w:ascii="仿宋_GB2312" w:hAnsi="宋体" w:eastAsia="仿宋_GB2312" w:cs="仿宋_GB2312"/>
          <w:sz w:val="28"/>
          <w:szCs w:val="28"/>
          <w:highlight w:val="none"/>
          <w:lang w:val="zh-CN"/>
        </w:rPr>
        <w:t>（</w:t>
      </w:r>
      <w:r>
        <w:rPr>
          <w:rFonts w:hint="eastAsia" w:ascii="仿宋_GB2312" w:hAnsi="宋体" w:eastAsia="仿宋_GB2312" w:cs="仿宋_GB2312"/>
          <w:sz w:val="28"/>
          <w:szCs w:val="28"/>
          <w:highlight w:val="none"/>
          <w:lang w:val="en-US" w:eastAsia="zh-CN"/>
        </w:rPr>
        <w:t>3</w:t>
      </w:r>
      <w:r>
        <w:rPr>
          <w:rFonts w:hint="eastAsia" w:ascii="仿宋_GB2312" w:hAnsi="宋体" w:eastAsia="仿宋_GB2312" w:cs="仿宋_GB2312"/>
          <w:sz w:val="28"/>
          <w:szCs w:val="28"/>
          <w:highlight w:val="none"/>
          <w:lang w:val="zh-CN"/>
        </w:rPr>
        <w:t>）国家相关标准、规范及有关技术文件</w:t>
      </w:r>
      <w:bookmarkStart w:id="1" w:name="_GoBack"/>
      <w:bookmarkEnd w:id="1"/>
      <w:r>
        <w:rPr>
          <w:rFonts w:hint="eastAsia" w:ascii="仿宋_GB2312" w:hAnsi="仿宋" w:eastAsia="仿宋_GB2312" w:cs="Times New Roman"/>
          <w:color w:val="000000"/>
          <w:sz w:val="28"/>
          <w:szCs w:val="28"/>
          <w:highlight w:val="none"/>
          <w:lang w:val="en-US" w:eastAsia="zh-CN"/>
        </w:rPr>
        <w:t>。</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one兔three">
    <w15:presenceInfo w15:providerId="None" w15:userId="one兔thr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3A2454"/>
    <w:rsid w:val="00C34048"/>
    <w:rsid w:val="050471D5"/>
    <w:rsid w:val="053C7039"/>
    <w:rsid w:val="05711A44"/>
    <w:rsid w:val="07055153"/>
    <w:rsid w:val="07F933E3"/>
    <w:rsid w:val="09CF2980"/>
    <w:rsid w:val="09D0533B"/>
    <w:rsid w:val="0B6F77E5"/>
    <w:rsid w:val="0BE77DA2"/>
    <w:rsid w:val="117A2513"/>
    <w:rsid w:val="13FE0526"/>
    <w:rsid w:val="181C3FA3"/>
    <w:rsid w:val="18A31950"/>
    <w:rsid w:val="18EF18DD"/>
    <w:rsid w:val="19235D7C"/>
    <w:rsid w:val="1F5A6197"/>
    <w:rsid w:val="23BE0E6C"/>
    <w:rsid w:val="23C949D6"/>
    <w:rsid w:val="26396924"/>
    <w:rsid w:val="26E13E53"/>
    <w:rsid w:val="27D868FE"/>
    <w:rsid w:val="283D6944"/>
    <w:rsid w:val="297558AC"/>
    <w:rsid w:val="2D901664"/>
    <w:rsid w:val="333A6108"/>
    <w:rsid w:val="33803888"/>
    <w:rsid w:val="34391CBC"/>
    <w:rsid w:val="34880D18"/>
    <w:rsid w:val="34E06B1D"/>
    <w:rsid w:val="34FD51B3"/>
    <w:rsid w:val="37B13F46"/>
    <w:rsid w:val="37EB55A8"/>
    <w:rsid w:val="385935CD"/>
    <w:rsid w:val="3A6F7E2D"/>
    <w:rsid w:val="3ABB227F"/>
    <w:rsid w:val="3C31041F"/>
    <w:rsid w:val="3D1928D1"/>
    <w:rsid w:val="3F41226C"/>
    <w:rsid w:val="41271A71"/>
    <w:rsid w:val="427D3EB0"/>
    <w:rsid w:val="4A3C512E"/>
    <w:rsid w:val="4BE156B5"/>
    <w:rsid w:val="4EE80B08"/>
    <w:rsid w:val="50742555"/>
    <w:rsid w:val="523A2454"/>
    <w:rsid w:val="530774AF"/>
    <w:rsid w:val="55A52421"/>
    <w:rsid w:val="579A3366"/>
    <w:rsid w:val="59502521"/>
    <w:rsid w:val="5ADC0ED2"/>
    <w:rsid w:val="5B0842C5"/>
    <w:rsid w:val="5C036210"/>
    <w:rsid w:val="5CD53D97"/>
    <w:rsid w:val="5EAE573F"/>
    <w:rsid w:val="5F171848"/>
    <w:rsid w:val="615B30D9"/>
    <w:rsid w:val="615C33BC"/>
    <w:rsid w:val="636D3049"/>
    <w:rsid w:val="64EB452C"/>
    <w:rsid w:val="693A7F09"/>
    <w:rsid w:val="6A894E1B"/>
    <w:rsid w:val="6AF272E7"/>
    <w:rsid w:val="6B861DFC"/>
    <w:rsid w:val="6C136138"/>
    <w:rsid w:val="6C414997"/>
    <w:rsid w:val="6C5C1EDC"/>
    <w:rsid w:val="6E5824A9"/>
    <w:rsid w:val="70DA5D7D"/>
    <w:rsid w:val="72E3010A"/>
    <w:rsid w:val="738B22F5"/>
    <w:rsid w:val="75153B55"/>
    <w:rsid w:val="7540409A"/>
    <w:rsid w:val="75FC26D7"/>
    <w:rsid w:val="78A417BB"/>
    <w:rsid w:val="7A7665E7"/>
    <w:rsid w:val="7B7D3A13"/>
    <w:rsid w:val="7CCE6984"/>
    <w:rsid w:val="7D393C95"/>
    <w:rsid w:val="7D6D78F8"/>
    <w:rsid w:val="7DF2584A"/>
    <w:rsid w:val="7E442ED0"/>
    <w:rsid w:val="7E7D6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3"/>
    <w:autoRedefine/>
    <w:qFormat/>
    <w:uiPriority w:val="0"/>
    <w:pPr>
      <w:keepNext/>
      <w:adjustRightInd w:val="0"/>
      <w:snapToGrid w:val="0"/>
      <w:spacing w:line="700" w:lineRule="exact"/>
      <w:jc w:val="center"/>
      <w:outlineLvl w:val="0"/>
    </w:pPr>
    <w:rPr>
      <w:rFonts w:ascii="黑体" w:hAnsi="黑体" w:cs="Times New Roman"/>
      <w:b/>
      <w:sz w:val="36"/>
      <w:szCs w:val="24"/>
    </w:rPr>
  </w:style>
  <w:style w:type="paragraph" w:styleId="3">
    <w:name w:val="heading 2"/>
    <w:basedOn w:val="1"/>
    <w:next w:val="1"/>
    <w:link w:val="12"/>
    <w:semiHidden/>
    <w:unhideWhenUsed/>
    <w:qFormat/>
    <w:uiPriority w:val="0"/>
    <w:pPr>
      <w:keepNext/>
      <w:adjustRightInd w:val="0"/>
      <w:snapToGrid w:val="0"/>
      <w:spacing w:line="360" w:lineRule="auto"/>
      <w:outlineLvl w:val="1"/>
    </w:pPr>
    <w:rPr>
      <w:rFonts w:ascii="黑体" w:hAnsi="黑体" w:cs="Times New Roman"/>
      <w:b/>
      <w:sz w:val="32"/>
      <w:szCs w:val="24"/>
    </w:rPr>
  </w:style>
  <w:style w:type="paragraph" w:styleId="4">
    <w:name w:val="heading 3"/>
    <w:basedOn w:val="1"/>
    <w:next w:val="1"/>
    <w:link w:val="14"/>
    <w:semiHidden/>
    <w:unhideWhenUsed/>
    <w:qFormat/>
    <w:uiPriority w:val="0"/>
    <w:pPr>
      <w:keepNext/>
      <w:keepLines/>
      <w:adjustRightInd w:val="0"/>
      <w:snapToGrid w:val="0"/>
      <w:spacing w:beforeLines="0" w:beforeAutospacing="0" w:afterLines="0" w:afterAutospacing="0" w:line="360" w:lineRule="auto"/>
      <w:outlineLvl w:val="2"/>
    </w:pPr>
    <w:rPr>
      <w:rFonts w:ascii="Calibri" w:hAnsi="Calibri" w:cs="Times New Roman"/>
      <w:b/>
      <w:sz w:val="30"/>
      <w:szCs w:val="24"/>
    </w:rPr>
  </w:style>
  <w:style w:type="paragraph" w:styleId="5">
    <w:name w:val="heading 4"/>
    <w:basedOn w:val="1"/>
    <w:next w:val="1"/>
    <w:semiHidden/>
    <w:unhideWhenUsed/>
    <w:qFormat/>
    <w:uiPriority w:val="0"/>
    <w:pPr>
      <w:keepNext/>
      <w:keepLines/>
      <w:adjustRightInd w:val="0"/>
      <w:snapToGrid w:val="0"/>
      <w:spacing w:beforeLines="0" w:beforeAutospacing="0" w:afterLines="0" w:afterAutospacing="0" w:line="300" w:lineRule="auto"/>
      <w:outlineLvl w:val="3"/>
    </w:pPr>
    <w:rPr>
      <w:rFonts w:ascii="Arial" w:hAnsi="Arial" w:cs="Times New Roman"/>
      <w:b/>
      <w:sz w:val="30"/>
      <w:szCs w:val="24"/>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style>
  <w:style w:type="paragraph" w:styleId="7">
    <w:name w:val="Body Text"/>
    <w:basedOn w:val="1"/>
    <w:next w:val="1"/>
    <w:autoRedefine/>
    <w:qFormat/>
    <w:uiPriority w:val="0"/>
    <w:pPr>
      <w:spacing w:after="120" w:afterLines="0" w:afterAutospacing="0"/>
    </w:pPr>
  </w:style>
  <w:style w:type="paragraph" w:styleId="8">
    <w:name w:val="footer"/>
    <w:basedOn w:val="1"/>
    <w:qFormat/>
    <w:uiPriority w:val="0"/>
    <w:pPr>
      <w:tabs>
        <w:tab w:val="center" w:pos="4153"/>
        <w:tab w:val="right" w:pos="8306"/>
      </w:tabs>
      <w:snapToGrid w:val="0"/>
      <w:jc w:val="left"/>
    </w:pPr>
    <w:rPr>
      <w:sz w:val="18"/>
      <w:szCs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标题 2 Char"/>
    <w:link w:val="3"/>
    <w:autoRedefine/>
    <w:qFormat/>
    <w:uiPriority w:val="0"/>
    <w:rPr>
      <w:rFonts w:ascii="Arial" w:hAnsi="Arial" w:eastAsia="仿宋_GB2312" w:cs="Times New Roman"/>
      <w:b/>
      <w:snapToGrid w:val="0"/>
      <w:color w:val="000000"/>
      <w:kern w:val="0"/>
      <w:sz w:val="36"/>
      <w:szCs w:val="24"/>
      <w:lang w:eastAsia="en-US"/>
    </w:rPr>
  </w:style>
  <w:style w:type="character" w:customStyle="1" w:styleId="13">
    <w:name w:val="标题 1 Char"/>
    <w:link w:val="2"/>
    <w:autoRedefine/>
    <w:qFormat/>
    <w:uiPriority w:val="0"/>
    <w:rPr>
      <w:rFonts w:ascii="宋体" w:hAnsi="宋体" w:eastAsia="仿宋_GB2312" w:cs="Times New Roman"/>
      <w:b/>
      <w:bCs/>
      <w:snapToGrid w:val="0"/>
      <w:color w:val="000000"/>
      <w:spacing w:val="-4"/>
      <w:kern w:val="44"/>
      <w:sz w:val="44"/>
      <w:szCs w:val="24"/>
      <w:lang w:val="en-US" w:eastAsia="en-US" w:bidi="ar-SA"/>
    </w:rPr>
  </w:style>
  <w:style w:type="character" w:customStyle="1" w:styleId="14">
    <w:name w:val="标题 3 Char"/>
    <w:link w:val="4"/>
    <w:qFormat/>
    <w:uiPriority w:val="0"/>
    <w:rPr>
      <w:rFonts w:ascii="Calibri" w:hAnsi="Calibri" w:eastAsia="仿宋_GB2312" w:cs="Times New Roman"/>
      <w:b/>
      <w:bCs/>
      <w:sz w:val="32"/>
      <w:szCs w:val="24"/>
    </w:rPr>
  </w:style>
  <w:style w:type="paragraph" w:customStyle="1" w:styleId="15">
    <w:name w:val="列出段落1"/>
    <w:basedOn w:val="1"/>
    <w:qFormat/>
    <w:uiPriority w:val="0"/>
    <w:pPr>
      <w:ind w:firstLine="200" w:firstLineChars="200"/>
    </w:pPr>
    <w:rPr>
      <w:szCs w:val="24"/>
    </w:rPr>
  </w:style>
</w:styles>
</file>

<file path=word/_rels/document.xml.rels><?xml version="1.0" encoding="UTF-8" standalone="yes"?>
<Relationships xmlns="http://schemas.openxmlformats.org/package/2006/relationships"><Relationship Id="rId5" Type="http://schemas.microsoft.com/office/2011/relationships/people" Target="people.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960</Words>
  <Characters>1027</Characters>
  <Lines>0</Lines>
  <Paragraphs>0</Paragraphs>
  <TotalTime>0</TotalTime>
  <ScaleCrop>false</ScaleCrop>
  <LinksUpToDate>false</LinksUpToDate>
  <CharactersWithSpaces>1039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2025-03-19T09:39:00Z</dcterms:created>
  <dc:creator>华采</dc:creator>
  <cp:lastModifiedBy>陕西华采招标有限公司</cp:lastModifiedBy>
  <cp:lastPrinted>2025-04-23T07:04:00Z</cp:lastPrinted>
  <dcterms:modified xsi:type="dcterms:W3CDTF">2026-09-29T10:06:15Z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698F4D42A60D4C23B6F2940341982374_11</vt:lpwstr>
  </property>
  <property fmtid="{D5CDD505-2E9C-101B-9397-08002B2CF9AE}" pid="4" name="KSOTemplateDocerSaveRecord">
    <vt:lpwstr>eyJoZGlkIjoiYjZjMDgwYWJjZmNiM2YzZmU4MTk1ZjZmYmY1NWU1OTEiLCJ1c2VySWQiOiI5MzY1NjA0ODAifQ==</vt:lpwstr>
  </property>
</Properties>
</file>