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版本号：JXZC-HZ-2026-021.1B220260811001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汉中市宁强县2026年度省级林业草原改革发展资金穗花杉生境保护科普调查项目(三次)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JXZC-HZ-2026-021.1B2</w:t>
      </w:r>
      <w:r>
        <w:br/>
      </w:r>
      <w:r>
        <w:br/>
      </w:r>
      <w:r>
        <w:br/>
      </w:r>
    </w:p>
    <w:p>
      <w:pPr>
        <w:pStyle w:val="null3"/>
        <w:jc w:val="center"/>
        <w:outlineLvl w:val="2"/>
      </w:pPr>
      <w:r>
        <w:rPr>
          <w:rFonts w:ascii="仿宋_GB2312" w:hAnsi="仿宋_GB2312" w:cs="仿宋_GB2312" w:eastAsia="仿宋_GB2312"/>
          <w:sz w:val="28"/>
          <w:b/>
        </w:rPr>
        <w:t>宁强县湿地保护管理中心（宁强县野生动植物保护管理站）</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宁强县湿地保护管理中心（宁强县野生动植物保护管理站）</w:t>
      </w:r>
      <w:r>
        <w:rPr>
          <w:rFonts w:ascii="仿宋_GB2312" w:hAnsi="仿宋_GB2312" w:cs="仿宋_GB2312" w:eastAsia="仿宋_GB2312"/>
        </w:rPr>
        <w:t>委托，拟对</w:t>
      </w:r>
      <w:r>
        <w:rPr>
          <w:rFonts w:ascii="仿宋_GB2312" w:hAnsi="仿宋_GB2312" w:cs="仿宋_GB2312" w:eastAsia="仿宋_GB2312"/>
        </w:rPr>
        <w:t>汉中市宁强县2026年度省级林业草原改革发展资金穗花杉生境保护科普调查项目(三次)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JXZC-HZ-2026-021.1B2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汉中市宁强县2026年度省级林业草原改革发展资金穗花杉生境保护科普调查项目(三次)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在汉水源国家湿地公园朱家河，布设5条样线、3个固定样方，系统调查穗花杉野生种群的分布范围、植株数量、年龄结构、伴生物种、生境特征及受威胁因素。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采购包1（穗花杉生境保护科普调查）：属于专门面向中小企业采购。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宁强县湿地保护管理中心（宁强县野生动植物保护管理站）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宁强县汉源街道羌州北路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宁强县湿地保护管理中心（宁强县野生动植物保护管理站）经办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0916-4227746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汉中市汉台区汉上第一街 7 号楼 1401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代理部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17209162482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本项目由成交供应商向采购代理机构支付采购代理服务费，采购代理服务费的收取依据原《招标代理服务收费管理暂行办法》（计价格[2002]1980号）、《国家发展改革委办公厅关于招标代理服务收费有关问题的通知》（发改办价格[2003]857号）和《国家发展改革委关于降低部分建设项目收费标准规范收费行为等有关问题的通知》（发改价格[2011]534号）文件的相关规定；每包（标段）不足3000元按3000收取 。2、采购代理服务费的缴纳方式：在领取《成交通知书》时向采购代理机构一次性全额缴纳采购代理服务费。3、代理服务费的具体金额后续见本项目中标结果公告。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宁强县湿地保护管理中心（宁强县野生动植物保护管理站）</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宁强县湿地保护管理中心（宁强县野生动植物保护管理站）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宁强县湿地保护管理中心（宁强县野生动植物保护管理站）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按照项目实施方案</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联系人：代理部</w:t>
      </w:r>
    </w:p>
    <w:p>
      <w:pPr>
        <w:pStyle w:val="null3"/>
      </w:pPr>
      <w:r>
        <w:rPr>
          <w:rFonts w:ascii="仿宋_GB2312" w:hAnsi="仿宋_GB2312" w:cs="仿宋_GB2312" w:eastAsia="仿宋_GB2312"/>
        </w:rPr>
        <w:t>联系电话：17209162482</w:t>
      </w:r>
    </w:p>
    <w:p>
      <w:pPr>
        <w:pStyle w:val="null3"/>
      </w:pPr>
      <w:r>
        <w:rPr>
          <w:rFonts w:ascii="仿宋_GB2312" w:hAnsi="仿宋_GB2312" w:cs="仿宋_GB2312" w:eastAsia="仿宋_GB2312"/>
        </w:rPr>
        <w:t>地址：汉中市汉台区汉上第一街 7 号楼 1401 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在汉水源国家湿地公园朱家河，布设5条样线、3个固定样方，系统调查穗花杉野生种群的分布范围、植株数量、年龄结构、伴生物种、生境特征及受威胁因素。 划定穗花杉保护范围：在穗花杉集中分布区划定保护范围，实施就地保护，包括植株挂牌、设置围栏、警示标牌等。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穗花杉生境保护科普调查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标的名称：穗花杉生境保护科普调查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24"/>
              <w:jc w:val="both"/>
            </w:pPr>
            <w:r>
              <w:rPr>
                <w:rFonts w:ascii="仿宋_GB2312" w:hAnsi="仿宋_GB2312" w:cs="仿宋_GB2312" w:eastAsia="仿宋_GB2312"/>
                <w:sz w:val="32"/>
              </w:rPr>
              <w:t>1. 穗花杉种群系统调查</w:t>
            </w:r>
          </w:p>
          <w:p>
            <w:pPr>
              <w:pStyle w:val="null3"/>
              <w:ind w:firstLine="624"/>
              <w:jc w:val="both"/>
            </w:pPr>
            <w:r>
              <w:rPr>
                <w:rFonts w:ascii="仿宋_GB2312" w:hAnsi="仿宋_GB2312" w:cs="仿宋_GB2312" w:eastAsia="仿宋_GB2312"/>
                <w:sz w:val="32"/>
              </w:rPr>
              <w:t>（</w:t>
            </w:r>
            <w:r>
              <w:rPr>
                <w:rFonts w:ascii="仿宋_GB2312" w:hAnsi="仿宋_GB2312" w:cs="仿宋_GB2312" w:eastAsia="仿宋_GB2312"/>
                <w:sz w:val="32"/>
              </w:rPr>
              <w:t>1）调查范围：调查区域为汉水源国家湿地公园朱家河源头区域，总面积约4平方公里，涵盖沟谷、山坡、林缘等穗花杉潜在生境，海拔梯度为900米至1500米。</w:t>
            </w:r>
          </w:p>
          <w:p>
            <w:pPr>
              <w:pStyle w:val="null3"/>
              <w:ind w:firstLine="624"/>
              <w:jc w:val="both"/>
            </w:pPr>
            <w:r>
              <w:rPr>
                <w:rFonts w:ascii="仿宋_GB2312" w:hAnsi="仿宋_GB2312" w:cs="仿宋_GB2312" w:eastAsia="仿宋_GB2312"/>
                <w:sz w:val="32"/>
              </w:rPr>
              <w:t>（</w:t>
            </w:r>
            <w:r>
              <w:rPr>
                <w:rFonts w:ascii="仿宋_GB2312" w:hAnsi="仿宋_GB2312" w:cs="仿宋_GB2312" w:eastAsia="仿宋_GB2312"/>
                <w:sz w:val="32"/>
              </w:rPr>
              <w:t>2）样线布设：在调查区域内布设5条样线。每条样线长度500至1000米，宽度10至20米，样线总长度约2.5至5公里。每条样线给予唯一编号，格式为“SHS-YX-01”至“SHS-YX-10”。使用GPS记录样线起点、终点及拐点坐标。调查时沿样线行进，记录样线范围内所有穗花杉植株。</w:t>
            </w:r>
          </w:p>
          <w:p>
            <w:pPr>
              <w:pStyle w:val="null3"/>
              <w:ind w:firstLine="624"/>
              <w:jc w:val="both"/>
            </w:pPr>
            <w:r>
              <w:rPr>
                <w:rFonts w:ascii="仿宋_GB2312" w:hAnsi="仿宋_GB2312" w:cs="仿宋_GB2312" w:eastAsia="仿宋_GB2312"/>
                <w:sz w:val="32"/>
              </w:rPr>
              <w:t>（</w:t>
            </w:r>
            <w:r>
              <w:rPr>
                <w:rFonts w:ascii="仿宋_GB2312" w:hAnsi="仿宋_GB2312" w:cs="仿宋_GB2312" w:eastAsia="仿宋_GB2312"/>
                <w:sz w:val="32"/>
              </w:rPr>
              <w:t>3）样方设置：设置</w:t>
            </w:r>
            <w:r>
              <w:rPr>
                <w:rFonts w:ascii="仿宋_GB2312" w:hAnsi="仿宋_GB2312" w:cs="仿宋_GB2312" w:eastAsia="仿宋_GB2312"/>
                <w:sz w:val="32"/>
                <w:color w:val="0000FF"/>
                <w:u w:val="single"/>
              </w:rPr>
              <w:t>3</w:t>
            </w:r>
            <w:r>
              <w:rPr>
                <w:rFonts w:ascii="仿宋_GB2312" w:hAnsi="仿宋_GB2312" w:cs="仿宋_GB2312" w:eastAsia="仿宋_GB2312"/>
                <w:sz w:val="32"/>
              </w:rPr>
              <w:t>个</w:t>
            </w:r>
            <w:r>
              <w:rPr>
                <w:rFonts w:ascii="仿宋_GB2312" w:hAnsi="仿宋_GB2312" w:cs="仿宋_GB2312" w:eastAsia="仿宋_GB2312"/>
                <w:sz w:val="32"/>
              </w:rPr>
              <w:t>20m×20m的固定监测样方，每个样方面积400平方米，总面积</w:t>
            </w:r>
            <w:r>
              <w:rPr>
                <w:rFonts w:ascii="仿宋_GB2312" w:hAnsi="仿宋_GB2312" w:cs="仿宋_GB2312" w:eastAsia="仿宋_GB2312"/>
                <w:sz w:val="32"/>
                <w:color w:val="0000FF"/>
                <w:u w:val="single"/>
              </w:rPr>
              <w:t>12</w:t>
            </w:r>
            <w:r>
              <w:rPr>
                <w:rFonts w:ascii="仿宋_GB2312" w:hAnsi="仿宋_GB2312" w:cs="仿宋_GB2312" w:eastAsia="仿宋_GB2312"/>
                <w:sz w:val="32"/>
                <w:color w:val="0000FF"/>
                <w:u w:val="single"/>
              </w:rPr>
              <w:t>00</w:t>
            </w:r>
            <w:r>
              <w:rPr>
                <w:rFonts w:ascii="仿宋_GB2312" w:hAnsi="仿宋_GB2312" w:cs="仿宋_GB2312" w:eastAsia="仿宋_GB2312"/>
                <w:sz w:val="32"/>
              </w:rPr>
              <w:t>平方米。样方应设置在穗花杉分布相对集中的区域，并覆盖不同的群落类型和地形部位。样方四角使用</w:t>
            </w:r>
            <w:r>
              <w:rPr>
                <w:rFonts w:ascii="仿宋_GB2312" w:hAnsi="仿宋_GB2312" w:cs="仿宋_GB2312" w:eastAsia="仿宋_GB2312"/>
                <w:sz w:val="32"/>
              </w:rPr>
              <w:t>GPS精确定位，并做永久性标记（如埋设界桩），以便长期定位监测。</w:t>
            </w:r>
          </w:p>
          <w:p>
            <w:pPr>
              <w:pStyle w:val="null3"/>
              <w:ind w:firstLine="624"/>
              <w:jc w:val="both"/>
            </w:pPr>
            <w:r>
              <w:rPr>
                <w:rFonts w:ascii="仿宋_GB2312" w:hAnsi="仿宋_GB2312" w:cs="仿宋_GB2312" w:eastAsia="仿宋_GB2312"/>
                <w:sz w:val="32"/>
              </w:rPr>
              <w:t>（</w:t>
            </w:r>
            <w:r>
              <w:rPr>
                <w:rFonts w:ascii="仿宋_GB2312" w:hAnsi="仿宋_GB2312" w:cs="仿宋_GB2312" w:eastAsia="仿宋_GB2312"/>
                <w:sz w:val="32"/>
              </w:rPr>
              <w:t>4）穗花杉个体调查</w:t>
            </w:r>
          </w:p>
          <w:p>
            <w:pPr>
              <w:pStyle w:val="null3"/>
              <w:ind w:firstLine="624"/>
              <w:jc w:val="both"/>
            </w:pPr>
            <w:r>
              <w:rPr>
                <w:rFonts w:ascii="仿宋_GB2312" w:hAnsi="仿宋_GB2312" w:cs="仿宋_GB2312" w:eastAsia="仿宋_GB2312"/>
                <w:sz w:val="32"/>
              </w:rPr>
              <w:t>对每株发现的穗花杉，记录以下信息：坐标（经纬度）、海拔、坡向、坡度、地形部位、胸径（或地径）、树高、冠幅、枝下高、生长势（旺盛、正常、衰弱、濒死、死亡）、病虫害情况、人为干扰情况（踩踏、折枝、砍伐等）。每株穗花杉给予唯一编号，格式为</w:t>
            </w:r>
            <w:r>
              <w:rPr>
                <w:rFonts w:ascii="仿宋_GB2312" w:hAnsi="仿宋_GB2312" w:cs="仿宋_GB2312" w:eastAsia="仿宋_GB2312"/>
                <w:sz w:val="32"/>
              </w:rPr>
              <w:t>“NH-SHS-XXX”（XXX为三位数字流水号）。每株穗花杉拍摄生境照、植株全景照、主干照、枝叶特写照、损伤或病虫害照。照片以植株编号命名，归入数据库。</w:t>
            </w:r>
          </w:p>
          <w:p>
            <w:pPr>
              <w:pStyle w:val="null3"/>
              <w:ind w:firstLine="624"/>
              <w:jc w:val="both"/>
            </w:pPr>
            <w:r>
              <w:rPr>
                <w:rFonts w:ascii="仿宋_GB2312" w:hAnsi="仿宋_GB2312" w:cs="仿宋_GB2312" w:eastAsia="仿宋_GB2312"/>
                <w:sz w:val="32"/>
              </w:rPr>
              <w:t>采集穗花杉凭证标本</w:t>
            </w:r>
            <w:r>
              <w:rPr>
                <w:rFonts w:ascii="仿宋_GB2312" w:hAnsi="仿宋_GB2312" w:cs="仿宋_GB2312" w:eastAsia="仿宋_GB2312"/>
                <w:sz w:val="32"/>
              </w:rPr>
              <w:t>10份，每份标本包括带叶枝条（长度30至50厘米），如有花果需同时采集。标本经压制、干燥、装订后，保存于项目单位标本室。同时采集叶片分子材料30份，采用硅胶快速干燥保存，用于后续遗传多样性分析。</w:t>
            </w:r>
          </w:p>
          <w:p>
            <w:pPr>
              <w:pStyle w:val="null3"/>
              <w:ind w:firstLine="624"/>
              <w:jc w:val="both"/>
            </w:pPr>
            <w:r>
              <w:rPr>
                <w:rFonts w:ascii="仿宋_GB2312" w:hAnsi="仿宋_GB2312" w:cs="仿宋_GB2312" w:eastAsia="仿宋_GB2312"/>
                <w:sz w:val="32"/>
              </w:rPr>
              <w:t>（</w:t>
            </w:r>
            <w:r>
              <w:rPr>
                <w:rFonts w:ascii="仿宋_GB2312" w:hAnsi="仿宋_GB2312" w:cs="仿宋_GB2312" w:eastAsia="仿宋_GB2312"/>
                <w:sz w:val="32"/>
              </w:rPr>
              <w:t>5）土壤调查</w:t>
            </w:r>
          </w:p>
          <w:p>
            <w:pPr>
              <w:pStyle w:val="null3"/>
              <w:ind w:firstLine="624"/>
              <w:jc w:val="both"/>
            </w:pPr>
            <w:r>
              <w:rPr>
                <w:rFonts w:ascii="仿宋_GB2312" w:hAnsi="仿宋_GB2312" w:cs="仿宋_GB2312" w:eastAsia="仿宋_GB2312"/>
                <w:sz w:val="32"/>
              </w:rPr>
              <w:t>在每个固定样方内，按</w:t>
            </w:r>
            <w:r>
              <w:rPr>
                <w:rFonts w:ascii="仿宋_GB2312" w:hAnsi="仿宋_GB2312" w:cs="仿宋_GB2312" w:eastAsia="仿宋_GB2312"/>
                <w:sz w:val="32"/>
              </w:rPr>
              <w:t>“S”形或梅花形布设5个采样点，采集0-20cm表层土壤，混合后取1kg左右作为混合样。检测指标包括：pH值、有机质、全氮、全磷、全钾、碱解氮、有效磷、速效钾等。</w:t>
            </w:r>
          </w:p>
          <w:p>
            <w:pPr>
              <w:pStyle w:val="null3"/>
              <w:ind w:firstLine="624"/>
              <w:jc w:val="both"/>
            </w:pPr>
            <w:r>
              <w:rPr>
                <w:rFonts w:ascii="仿宋_GB2312" w:hAnsi="仿宋_GB2312" w:cs="仿宋_GB2312" w:eastAsia="仿宋_GB2312"/>
                <w:sz w:val="32"/>
              </w:rPr>
              <w:t>2. 划定穗花杉保护范围</w:t>
            </w:r>
          </w:p>
          <w:p>
            <w:pPr>
              <w:pStyle w:val="null3"/>
              <w:ind w:firstLine="624"/>
              <w:jc w:val="both"/>
            </w:pPr>
            <w:r>
              <w:rPr>
                <w:rFonts w:ascii="仿宋_GB2312" w:hAnsi="仿宋_GB2312" w:cs="仿宋_GB2312" w:eastAsia="仿宋_GB2312"/>
                <w:sz w:val="32"/>
              </w:rPr>
              <w:t>根据调查结果，在穗花杉集中分布区（</w:t>
            </w:r>
            <w:r>
              <w:rPr>
                <w:rFonts w:ascii="仿宋_GB2312" w:hAnsi="仿宋_GB2312" w:cs="仿宋_GB2312" w:eastAsia="仿宋_GB2312"/>
                <w:sz w:val="32"/>
              </w:rPr>
              <w:t>核心区面积不低于</w:t>
            </w:r>
            <w:r>
              <w:rPr>
                <w:rFonts w:ascii="仿宋_GB2312" w:hAnsi="仿宋_GB2312" w:cs="仿宋_GB2312" w:eastAsia="仿宋_GB2312"/>
                <w:sz w:val="32"/>
              </w:rPr>
              <w:t>5亩）划定保护范围。主要措施包括：</w:t>
            </w:r>
          </w:p>
          <w:p>
            <w:pPr>
              <w:pStyle w:val="null3"/>
              <w:ind w:firstLine="624"/>
              <w:jc w:val="both"/>
            </w:pPr>
            <w:r>
              <w:rPr>
                <w:rFonts w:ascii="仿宋_GB2312" w:hAnsi="仿宋_GB2312" w:cs="仿宋_GB2312" w:eastAsia="仿宋_GB2312"/>
                <w:sz w:val="32"/>
              </w:rPr>
              <w:t>· 植株挂牌： 对全部已发现的穗花杉个体悬挂不锈钢标牌。</w:t>
            </w:r>
          </w:p>
          <w:p>
            <w:pPr>
              <w:pStyle w:val="null3"/>
              <w:ind w:firstLine="624"/>
              <w:jc w:val="both"/>
            </w:pPr>
            <w:r>
              <w:rPr>
                <w:rFonts w:ascii="仿宋_GB2312" w:hAnsi="仿宋_GB2312" w:cs="仿宋_GB2312" w:eastAsia="仿宋_GB2312"/>
                <w:sz w:val="32"/>
              </w:rPr>
              <w:t>· 设置围栏： 在保护地外围设置简易围栏（</w:t>
            </w:r>
            <w:r>
              <w:rPr>
                <w:rFonts w:ascii="仿宋_GB2312" w:hAnsi="仿宋_GB2312" w:cs="仿宋_GB2312" w:eastAsia="仿宋_GB2312"/>
                <w:sz w:val="32"/>
              </w:rPr>
              <w:t>生态围栏），防止人畜随意进入。</w:t>
            </w:r>
          </w:p>
          <w:p>
            <w:pPr>
              <w:pStyle w:val="null3"/>
              <w:ind w:firstLine="624"/>
              <w:jc w:val="both"/>
            </w:pPr>
            <w:r>
              <w:rPr>
                <w:rFonts w:ascii="仿宋_GB2312" w:hAnsi="仿宋_GB2312" w:cs="仿宋_GB2312" w:eastAsia="仿宋_GB2312"/>
                <w:sz w:val="32"/>
              </w:rPr>
              <w:t>· 警示标牌： 在保护地入口及周边</w:t>
            </w:r>
            <w:r>
              <w:rPr>
                <w:rFonts w:ascii="仿宋_GB2312" w:hAnsi="仿宋_GB2312" w:cs="仿宋_GB2312" w:eastAsia="仿宋_GB2312"/>
                <w:sz w:val="32"/>
                <w:color w:val="0000FF"/>
                <w:u w:val="single"/>
              </w:rPr>
              <w:t xml:space="preserve">1 </w:t>
            </w:r>
            <w:r>
              <w:rPr>
                <w:rFonts w:ascii="仿宋_GB2312" w:hAnsi="仿宋_GB2312" w:cs="仿宋_GB2312" w:eastAsia="仿宋_GB2312"/>
                <w:sz w:val="32"/>
              </w:rPr>
              <w:t>醒目位置设立警示标牌</w:t>
            </w:r>
            <w:r>
              <w:rPr>
                <w:rFonts w:ascii="仿宋_GB2312" w:hAnsi="仿宋_GB2312" w:cs="仿宋_GB2312" w:eastAsia="仿宋_GB2312"/>
                <w:sz w:val="32"/>
              </w:rPr>
              <w:t>10个（2mX1.5m），内容包含“珍稀植物保护区，严禁入内”“禁止放牧”“禁止采挖”等警示语及相关法律法规。</w:t>
            </w:r>
          </w:p>
          <w:p>
            <w:pPr>
              <w:pStyle w:val="null3"/>
              <w:ind w:firstLine="624"/>
              <w:jc w:val="both"/>
            </w:pPr>
            <w:r>
              <w:rPr>
                <w:rFonts w:ascii="仿宋_GB2312" w:hAnsi="仿宋_GB2312" w:cs="仿宋_GB2312" w:eastAsia="仿宋_GB2312"/>
                <w:sz w:val="32"/>
              </w:rPr>
              <w:t>3. 建立穗花杉种群数据库</w:t>
            </w:r>
          </w:p>
          <w:p>
            <w:pPr>
              <w:pStyle w:val="null3"/>
              <w:ind w:firstLine="624"/>
              <w:jc w:val="both"/>
            </w:pPr>
            <w:r>
              <w:rPr>
                <w:rFonts w:ascii="仿宋_GB2312" w:hAnsi="仿宋_GB2312" w:cs="仿宋_GB2312" w:eastAsia="仿宋_GB2312"/>
                <w:sz w:val="32"/>
              </w:rPr>
              <w:t>整合野外调查数据，构建包含以下模块的数据库：</w:t>
            </w:r>
          </w:p>
          <w:p>
            <w:pPr>
              <w:pStyle w:val="null3"/>
              <w:ind w:firstLine="624"/>
              <w:jc w:val="both"/>
            </w:pPr>
            <w:r>
              <w:rPr>
                <w:rFonts w:ascii="仿宋_GB2312" w:hAnsi="仿宋_GB2312" w:cs="仿宋_GB2312" w:eastAsia="仿宋_GB2312"/>
                <w:sz w:val="32"/>
              </w:rPr>
              <w:t>· 空间分布模块： 所有植株的GPS坐标、分布图。</w:t>
            </w:r>
          </w:p>
          <w:p>
            <w:pPr>
              <w:pStyle w:val="null3"/>
              <w:ind w:firstLine="624"/>
              <w:jc w:val="both"/>
            </w:pPr>
            <w:r>
              <w:rPr>
                <w:rFonts w:ascii="仿宋_GB2312" w:hAnsi="仿宋_GB2312" w:cs="仿宋_GB2312" w:eastAsia="仿宋_GB2312"/>
                <w:sz w:val="32"/>
              </w:rPr>
              <w:t>· 个体档案模块： 每株穗花杉的形态、生长势、干扰情况等详细信息及照片。</w:t>
            </w:r>
          </w:p>
          <w:p>
            <w:pPr>
              <w:pStyle w:val="null3"/>
              <w:ind w:firstLine="624"/>
              <w:jc w:val="both"/>
            </w:pPr>
            <w:r>
              <w:rPr>
                <w:rFonts w:ascii="仿宋_GB2312" w:hAnsi="仿宋_GB2312" w:cs="仿宋_GB2312" w:eastAsia="仿宋_GB2312"/>
                <w:sz w:val="32"/>
              </w:rPr>
              <w:t>· 群落结构模块： 固定样方的乔木、灌木、草本、更新层数据。</w:t>
            </w:r>
          </w:p>
          <w:p>
            <w:pPr>
              <w:pStyle w:val="null3"/>
              <w:ind w:firstLine="624"/>
              <w:jc w:val="both"/>
            </w:pPr>
            <w:r>
              <w:rPr>
                <w:rFonts w:ascii="仿宋_GB2312" w:hAnsi="仿宋_GB2312" w:cs="仿宋_GB2312" w:eastAsia="仿宋_GB2312"/>
                <w:sz w:val="32"/>
              </w:rPr>
              <w:t>· 环境因子模块： 地形因子、土壤理化性质等。</w:t>
            </w:r>
          </w:p>
          <w:p>
            <w:pPr>
              <w:pStyle w:val="null3"/>
              <w:ind w:firstLine="624"/>
              <w:jc w:val="both"/>
            </w:pPr>
            <w:r>
              <w:rPr>
                <w:rFonts w:ascii="仿宋_GB2312" w:hAnsi="仿宋_GB2312" w:cs="仿宋_GB2312" w:eastAsia="仿宋_GB2312"/>
                <w:sz w:val="32"/>
              </w:rPr>
              <w:t>· 影像资料模块： 所有调查过程及成果照片、视频。</w:t>
            </w:r>
          </w:p>
          <w:p>
            <w:pPr>
              <w:pStyle w:val="null3"/>
              <w:ind w:firstLine="624"/>
              <w:jc w:val="both"/>
            </w:pPr>
            <w:r>
              <w:rPr>
                <w:rFonts w:ascii="仿宋_GB2312" w:hAnsi="仿宋_GB2312" w:cs="仿宋_GB2312" w:eastAsia="仿宋_GB2312"/>
                <w:sz w:val="32"/>
              </w:rPr>
              <w:t>4. 科普宣传教育</w:t>
            </w:r>
          </w:p>
          <w:p>
            <w:pPr>
              <w:pStyle w:val="null3"/>
              <w:ind w:firstLine="624"/>
              <w:jc w:val="both"/>
            </w:pPr>
            <w:r>
              <w:rPr>
                <w:rFonts w:ascii="仿宋_GB2312" w:hAnsi="仿宋_GB2312" w:cs="仿宋_GB2312" w:eastAsia="仿宋_GB2312"/>
                <w:sz w:val="32"/>
              </w:rPr>
              <w:t>· 宣传手册： 设计并印制《国家重点保护野生植物——穗花杉》科普宣传手册5000份，内容包含穗花杉的生物学特征、保护价值、分布现状、法律法规等，面向当地居民、游客、中小学生免费发放。</w:t>
            </w:r>
          </w:p>
          <w:p>
            <w:pPr>
              <w:pStyle w:val="null3"/>
              <w:ind w:firstLine="624"/>
              <w:jc w:val="both"/>
            </w:pPr>
            <w:r>
              <w:rPr>
                <w:rFonts w:ascii="仿宋_GB2312" w:hAnsi="仿宋_GB2312" w:cs="仿宋_GB2312" w:eastAsia="仿宋_GB2312"/>
                <w:sz w:val="32"/>
              </w:rPr>
              <w:t>· 科普宣传牌：在湿地公园入口、步道沿线等人流密集处，设立科普宣传牌10个（2m×1.5m），介绍穗花杉的保护意义及公园内珍稀植物资源。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调查人员具有植物学、生态学或相关专业学位；具有珍稀濒危植物保护研究经历；具备野外植物分类鉴定能力；具有数据分析能力和报告撰写经验。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所需工具设备需供应商自行配备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宁强县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按照项目实施方案</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进度款，完成服务内容的50%，达到付款条件起90个工作日内，支付合同总金额的50.0%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进度款，完成所有服务内容，达到付款条件起180个工作日内，支付合同总金额的50.0%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按照政府采购管理办法</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领取成交通知书时，提交纸质响应文件正本壹份、副本贰份、电子版壹份（U盘壹份注明单位名称），内容和通过电子化交易平台实施的政府采购项目提交的响应文件一致。纸质响应文件正副本分别胶装（响应文件建议采用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（1）供应商为具有独立承担民事责任能力的企业法人、负责人或其他组织或自然人，并出具有效的营业执照（事业法人证）或证明文件或自然人的身份证明； （2）根据汉财办采管〔2024〕20号的文件要求，投标人只需在资格审查环节提供满足相应条件的资格承诺函（式样见响应文件格式），不再需要提供以下证明资料：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资格文件.pdf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(1)法定代表人（负责人）参加磋商的：提供法定代表人（负责人）身份证明书及身份证 (2)授权代表参加磋商的：授权委托书及授权代表身份证。</w:t>
            </w:r>
          </w:p>
        </w:tc>
        <w:tc>
          <w:tcPr>
            <w:tcW w:type="dxa" w:w="1661"/>
          </w:tcPr>
          <w:p>
            <w:pPr>
              <w:pStyle w:val="null3"/>
            </w:pPr>
            <w:r>
              <w:rPr>
                <w:rFonts w:ascii="仿宋_GB2312" w:hAnsi="仿宋_GB2312" w:cs="仿宋_GB2312" w:eastAsia="仿宋_GB2312"/>
              </w:rPr>
              <w:t>资格文件.pdf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资格文件.pdf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响应文件封面 资格文件.pdf 中小企业声明函 残疾人福利性单位声明函 商务应答表 服务方案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1.供应商针对本项目拟派出的人员须具有植物学及相关专业博士学位者每人得2分，共6分；（提供相应证件加盖公章） 2.供应商针对本项目拟派出的项目负责人具有具备正高级职称（研究员、教授）得7分，副高职称者（副研究员、副教授）得4分。（提供相应证件加盖公章） 3.供应商针对本项目拟派出的技术负责人具有具备正高级职称（研究员、教授）得6分，副高职称者（副研究员、副教授）得3分。（提供相应证件加盖公章）</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提供2023年6月至今(以合同签订时间为准)类似项目的业绩，每个业绩得3分，最多得12分。(提供中标通知书或合同协议书复印件加盖单位公章)。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供应商针对本项目的服务特点提出总体的服务实施方案，内容包括： 1.对项目的理解和总体思路 2.项目特点、关键技术问题的认识及其对策措施 3.进度保障措施 4.质量保证措施 5.科普宣传实施方案 6.设备物资配置 7.对本项目的合理化建议 二、评审标准 完整性：内容须全面，对评审内容中的各项要求详细描述； 可实施性：切合本项目时间情况，实施步骤清晰、合理； 针对性：内容能够紧扣项目实际情况，科学合理 三、赋分标准（满分39分）1-6条 每满足一个评审标准得2分，满分6分；第7条每满足一个评审标准得1分，满分3分；针对评审标准内容不齐全、存在有不合理处的扣1分（7项内容评审标准相同）。</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