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版本号：BYTC2026CG024.1B220260731001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路灯光源更换LED模组采购(三次)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BYTC2026CG024.1B2</w:t>
      </w:r>
      <w:r>
        <w:br/>
      </w:r>
      <w:r>
        <w:br/>
      </w:r>
      <w:r>
        <w:br/>
      </w:r>
    </w:p>
    <w:p>
      <w:pPr>
        <w:pStyle w:val="null3"/>
        <w:jc w:val="center"/>
        <w:outlineLvl w:val="2"/>
      </w:pPr>
      <w:r>
        <w:rPr>
          <w:rFonts w:ascii="仿宋_GB2312" w:hAnsi="仿宋_GB2312" w:cs="仿宋_GB2312" w:eastAsia="仿宋_GB2312"/>
          <w:sz w:val="28"/>
          <w:b/>
        </w:rPr>
        <w:t>汉中市路灯管理处</w:t>
      </w:r>
    </w:p>
    <w:p>
      <w:pPr>
        <w:pStyle w:val="null3"/>
        <w:jc w:val="center"/>
        <w:outlineLvl w:val="2"/>
      </w:pPr>
      <w:r>
        <w:rPr>
          <w:rFonts w:ascii="仿宋_GB2312" w:hAnsi="仿宋_GB2312" w:cs="仿宋_GB2312" w:eastAsia="仿宋_GB2312"/>
          <w:sz w:val="28"/>
          <w:b/>
        </w:rPr>
        <w:t>陕西博宇天诚项目管理有限公司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陕西博宇天诚项目管理有限公司</w:t>
      </w:r>
      <w:r>
        <w:rPr>
          <w:rFonts w:ascii="仿宋_GB2312" w:hAnsi="仿宋_GB2312" w:cs="仿宋_GB2312" w:eastAsia="仿宋_GB2312"/>
        </w:rPr>
        <w:t>（以下简称“代理机构”）受</w:t>
      </w:r>
      <w:r>
        <w:rPr>
          <w:rFonts w:ascii="仿宋_GB2312" w:hAnsi="仿宋_GB2312" w:cs="仿宋_GB2312" w:eastAsia="仿宋_GB2312"/>
        </w:rPr>
        <w:t>汉中市路灯管理处</w:t>
      </w:r>
      <w:r>
        <w:rPr>
          <w:rFonts w:ascii="仿宋_GB2312" w:hAnsi="仿宋_GB2312" w:cs="仿宋_GB2312" w:eastAsia="仿宋_GB2312"/>
        </w:rPr>
        <w:t>委托，拟对</w:t>
      </w:r>
      <w:r>
        <w:rPr>
          <w:rFonts w:ascii="仿宋_GB2312" w:hAnsi="仿宋_GB2312" w:cs="仿宋_GB2312" w:eastAsia="仿宋_GB2312"/>
        </w:rPr>
        <w:t>路灯光源更换LED模组采购(三次)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BYTC2026CG024.1B2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路灯光源更换LED模组采购(三次)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采购LED模组一批，保障道路照明工作，具体采购内容详见招标文件。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采购包1（路灯光源更换LED模组采购）：属于专门面向中小企业采购。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单位负责人授权书及被授权人身份证：供应商应授权合法的人员参加投标，其中法定代表人直接参加的，须出具法定代表人证明书，并与营业执照上信息一致；被授权代表参加的，须出具法定代表人授权书及被授权人身份证；（非法人单位的负责人均参照执行）；</w:t>
      </w:r>
    </w:p>
    <w:p>
      <w:pPr>
        <w:pStyle w:val="null3"/>
      </w:pPr>
      <w:r>
        <w:rPr>
          <w:rFonts w:ascii="仿宋_GB2312" w:hAnsi="仿宋_GB2312" w:cs="仿宋_GB2312" w:eastAsia="仿宋_GB2312"/>
        </w:rPr>
        <w:t>3、供应商资格承诺函：提供“汉中市政府采购供应商资格承诺函”；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汉中市路灯管理处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汉中市汉台区前进中路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邵瑛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15691658016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陕西博宇天诚项目管理有限公司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陕西省汉中市汉台区汉中路街道办事处荔枝路智诚雅居2楼1号写字间</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0916-2697988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开户名称：陕西博宇天诚项目管理有限公司</w:t>
            </w:r>
          </w:p>
          <w:p>
            <w:pPr>
              <w:pStyle w:val="null3"/>
            </w:pPr>
            <w:r>
              <w:rPr>
                <w:rFonts w:ascii="仿宋_GB2312" w:hAnsi="仿宋_GB2312" w:cs="仿宋_GB2312" w:eastAsia="仿宋_GB2312"/>
              </w:rPr>
              <w:t>开户银行：长安银行股份有限公司汉中兴元路支行</w:t>
            </w:r>
          </w:p>
          <w:p>
            <w:pPr>
              <w:pStyle w:val="null3"/>
            </w:pPr>
            <w:r>
              <w:rPr>
                <w:rFonts w:ascii="仿宋_GB2312" w:hAnsi="仿宋_GB2312" w:cs="仿宋_GB2312" w:eastAsia="仿宋_GB2312"/>
              </w:rPr>
              <w:t>银行账号：806060601429999888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汉中市路灯管理处</w:t>
      </w:r>
      <w:r>
        <w:rPr>
          <w:rFonts w:ascii="仿宋_GB2312" w:hAnsi="仿宋_GB2312" w:cs="仿宋_GB2312" w:eastAsia="仿宋_GB2312"/>
        </w:rPr>
        <w:t>和</w:t>
      </w:r>
      <w:r>
        <w:rPr>
          <w:rFonts w:ascii="仿宋_GB2312" w:hAnsi="仿宋_GB2312" w:cs="仿宋_GB2312" w:eastAsia="仿宋_GB2312"/>
        </w:rPr>
        <w:t>陕西博宇天诚项目管理有限公司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汉中市路灯管理处</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陕西博宇天诚项目管理有限公司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汉中市路灯管理处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陕西博宇天诚项目管理有限公司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单位要充分考虑知识产权问题，应保证采购单位免除且承担由于投标单位在其本国使⽤该项⽬所需的材料和设计或其任何⼀部分时⽽引起第三⽅提出的侵犯专利权、商标权或⼯业设计权的起诉、⾏动、⾏政程序索赔、请求等，以及采购单位为此⽽产⽣的损失和损害、费⽤和⽀出（包括律师费）。</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满足国家及行业相关规定，满足采购人实际使用要求。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陕西博宇天诚项目管理有限公司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陕西博宇天诚项目管理有限公司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陕西博宇天诚项目管理有限公司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联系人：李飞</w:t>
      </w:r>
    </w:p>
    <w:p>
      <w:pPr>
        <w:pStyle w:val="null3"/>
      </w:pPr>
      <w:r>
        <w:rPr>
          <w:rFonts w:ascii="仿宋_GB2312" w:hAnsi="仿宋_GB2312" w:cs="仿宋_GB2312" w:eastAsia="仿宋_GB2312"/>
        </w:rPr>
        <w:t>联系电话：0916-2697988</w:t>
      </w:r>
    </w:p>
    <w:p>
      <w:pPr>
        <w:pStyle w:val="null3"/>
      </w:pPr>
      <w:r>
        <w:rPr>
          <w:rFonts w:ascii="仿宋_GB2312" w:hAnsi="仿宋_GB2312" w:cs="仿宋_GB2312" w:eastAsia="仿宋_GB2312"/>
        </w:rPr>
        <w:t>地址：陕西省汉中市汉台区汉中路街道办事处荔枝路智诚雅居2楼1号写字间</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采购路灯光源更换LED模组一批。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544,000.00</w:t>
      </w:r>
    </w:p>
    <w:p>
      <w:pPr>
        <w:pStyle w:val="null3"/>
      </w:pPr>
      <w:r>
        <w:rPr>
          <w:rFonts w:ascii="仿宋_GB2312" w:hAnsi="仿宋_GB2312" w:cs="仿宋_GB2312" w:eastAsia="仿宋_GB2312"/>
        </w:rPr>
        <w:t>采购包最高限价（元）: 544,000.00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LED模组组件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544,000.00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标的名称：LED模组组件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65"/>
            </w:pPr>
            <w:r>
              <w:rPr>
                <w:rFonts w:ascii="仿宋_GB2312" w:hAnsi="仿宋_GB2312" w:cs="仿宋_GB2312" w:eastAsia="仿宋_GB2312"/>
                <w:sz w:val="24"/>
              </w:rPr>
              <w:t>（一）整体要求</w:t>
            </w:r>
          </w:p>
          <w:p>
            <w:pPr>
              <w:pStyle w:val="null3"/>
            </w:pPr>
            <w:r>
              <w:rPr>
                <w:rFonts w:ascii="仿宋_GB2312" w:hAnsi="仿宋_GB2312" w:cs="仿宋_GB2312" w:eastAsia="仿宋_GB2312"/>
                <w:sz w:val="24"/>
              </w:rPr>
              <w:t>1、采购定制COB光源LED模组（包含：COB光源和驱动电源组成）一批，包括：额定功率100W的COB光源LED模组120套、额定功率120W的COB光源LED模组706套、额定功率150W的COB光源LED模组237套，合计：1063套。</w:t>
            </w:r>
          </w:p>
          <w:p>
            <w:pPr>
              <w:pStyle w:val="null3"/>
            </w:pPr>
            <w:r>
              <w:rPr>
                <w:rFonts w:ascii="仿宋_GB2312" w:hAnsi="仿宋_GB2312" w:cs="仿宋_GB2312" w:eastAsia="仿宋_GB2312"/>
                <w:sz w:val="24"/>
              </w:rPr>
              <w:t>2、投标产品用于以下路段光源更换，具体为：</w:t>
            </w:r>
          </w:p>
          <w:p>
            <w:pPr>
              <w:pStyle w:val="null3"/>
            </w:pPr>
            <w:r>
              <w:rPr>
                <w:rFonts w:ascii="仿宋_GB2312" w:hAnsi="仿宋_GB2312" w:cs="仿宋_GB2312" w:eastAsia="仿宋_GB2312"/>
                <w:sz w:val="24"/>
              </w:rPr>
              <w:t>2.1梁州路：（1）额定功率150W，128套；（2）额定功率120W，256套；</w:t>
            </w:r>
          </w:p>
          <w:p>
            <w:pPr>
              <w:pStyle w:val="null3"/>
            </w:pPr>
            <w:r>
              <w:rPr>
                <w:rFonts w:ascii="仿宋_GB2312" w:hAnsi="仿宋_GB2312" w:cs="仿宋_GB2312" w:eastAsia="仿宋_GB2312"/>
                <w:sz w:val="24"/>
              </w:rPr>
              <w:t>2.2东新街：（1）额定功率120W，232套；</w:t>
            </w:r>
          </w:p>
          <w:p>
            <w:pPr>
              <w:pStyle w:val="null3"/>
            </w:pPr>
            <w:r>
              <w:rPr>
                <w:rFonts w:ascii="仿宋_GB2312" w:hAnsi="仿宋_GB2312" w:cs="仿宋_GB2312" w:eastAsia="仿宋_GB2312"/>
                <w:sz w:val="24"/>
              </w:rPr>
              <w:t>2.3望江路：（1）额定功率150W，26套；（2）额定功率120W，52套；（3）额定功率100W，120套；</w:t>
            </w:r>
          </w:p>
          <w:p>
            <w:pPr>
              <w:pStyle w:val="null3"/>
            </w:pPr>
            <w:r>
              <w:rPr>
                <w:rFonts w:ascii="仿宋_GB2312" w:hAnsi="仿宋_GB2312" w:cs="仿宋_GB2312" w:eastAsia="仿宋_GB2312"/>
                <w:sz w:val="24"/>
              </w:rPr>
              <w:t>2.4益州路：（1）额定功率150W，83套；（2）额定功率120W，166套；</w:t>
            </w:r>
          </w:p>
          <w:p>
            <w:pPr>
              <w:pStyle w:val="null3"/>
            </w:pPr>
            <w:r>
              <w:rPr>
                <w:rFonts w:ascii="仿宋_GB2312" w:hAnsi="仿宋_GB2312" w:cs="仿宋_GB2312" w:eastAsia="仿宋_GB2312"/>
                <w:sz w:val="24"/>
              </w:rPr>
              <w:t>（二）COB光源性能参数</w:t>
            </w:r>
          </w:p>
          <w:p>
            <w:pPr>
              <w:pStyle w:val="null3"/>
            </w:pPr>
            <w:r>
              <w:rPr>
                <w:rFonts w:ascii="仿宋_GB2312" w:hAnsi="仿宋_GB2312" w:cs="仿宋_GB2312" w:eastAsia="仿宋_GB2312"/>
                <w:sz w:val="24"/>
              </w:rPr>
              <w:t>1、光效（lm/W）:≥140lm/W；</w:t>
            </w:r>
          </w:p>
          <w:p>
            <w:pPr>
              <w:pStyle w:val="null3"/>
            </w:pPr>
            <w:r>
              <w:rPr>
                <w:rFonts w:ascii="仿宋_GB2312" w:hAnsi="仿宋_GB2312" w:cs="仿宋_GB2312" w:eastAsia="仿宋_GB2312"/>
                <w:sz w:val="24"/>
              </w:rPr>
              <w:t>2、色温（K）：4000K, ±100K；</w:t>
            </w:r>
          </w:p>
          <w:p>
            <w:pPr>
              <w:pStyle w:val="null3"/>
            </w:pPr>
            <w:r>
              <w:rPr>
                <w:rFonts w:ascii="仿宋_GB2312" w:hAnsi="仿宋_GB2312" w:cs="仿宋_GB2312" w:eastAsia="仿宋_GB2312"/>
                <w:sz w:val="24"/>
              </w:rPr>
              <w:t>3、防护等级：≥IP65；</w:t>
            </w:r>
          </w:p>
          <w:p>
            <w:pPr>
              <w:pStyle w:val="null3"/>
            </w:pPr>
            <w:r>
              <w:rPr>
                <w:rFonts w:ascii="仿宋_GB2312" w:hAnsi="仿宋_GB2312" w:cs="仿宋_GB2312" w:eastAsia="仿宋_GB2312"/>
                <w:sz w:val="24"/>
              </w:rPr>
              <w:t>4、光源寿命：≥50000H；</w:t>
            </w:r>
          </w:p>
          <w:p>
            <w:pPr>
              <w:pStyle w:val="null3"/>
            </w:pPr>
            <w:r>
              <w:rPr>
                <w:rFonts w:ascii="仿宋_GB2312" w:hAnsi="仿宋_GB2312" w:cs="仿宋_GB2312" w:eastAsia="仿宋_GB2312"/>
                <w:sz w:val="24"/>
              </w:rPr>
              <w:t>5、显色指数（Ra）：≥70，色容差SDCM≤5；</w:t>
            </w:r>
          </w:p>
          <w:p>
            <w:pPr>
              <w:pStyle w:val="null3"/>
            </w:pPr>
            <w:r>
              <w:rPr>
                <w:rFonts w:ascii="仿宋_GB2312" w:hAnsi="仿宋_GB2312" w:cs="仿宋_GB2312" w:eastAsia="仿宋_GB2312"/>
                <w:sz w:val="24"/>
              </w:rPr>
              <w:t>6、防雷等级：10KV ，具备有效应对电网污染、浪涌和雷击的性能；</w:t>
            </w:r>
          </w:p>
          <w:p>
            <w:pPr>
              <w:pStyle w:val="null3"/>
            </w:pPr>
            <w:r>
              <w:rPr>
                <w:rFonts w:ascii="仿宋_GB2312" w:hAnsi="仿宋_GB2312" w:cs="仿宋_GB2312" w:eastAsia="仿宋_GB2312"/>
                <w:sz w:val="24"/>
              </w:rPr>
              <w:t>7、光源类型：可拆卸式COB封装LED模组（根据道路现状设计定制COB光源，定制光学玻璃透镜）；</w:t>
            </w:r>
          </w:p>
          <w:p>
            <w:pPr>
              <w:pStyle w:val="null3"/>
            </w:pPr>
            <w:r>
              <w:rPr>
                <w:rFonts w:ascii="仿宋_GB2312" w:hAnsi="仿宋_GB2312" w:cs="仿宋_GB2312" w:eastAsia="仿宋_GB2312"/>
                <w:sz w:val="24"/>
              </w:rPr>
              <w:t>（三）驱动电源</w:t>
            </w:r>
          </w:p>
          <w:p>
            <w:pPr>
              <w:pStyle w:val="null3"/>
            </w:pPr>
            <w:r>
              <w:rPr>
                <w:rFonts w:ascii="仿宋_GB2312" w:hAnsi="仿宋_GB2312" w:cs="仿宋_GB2312" w:eastAsia="仿宋_GB2312"/>
                <w:sz w:val="24"/>
              </w:rPr>
              <w:t>1、电源适配器具备CCC认证（中国强制产品认证）；</w:t>
            </w:r>
          </w:p>
          <w:p>
            <w:pPr>
              <w:pStyle w:val="null3"/>
            </w:pPr>
            <w:r>
              <w:rPr>
                <w:rFonts w:ascii="仿宋_GB2312" w:hAnsi="仿宋_GB2312" w:cs="仿宋_GB2312" w:eastAsia="仿宋_GB2312"/>
                <w:sz w:val="24"/>
              </w:rPr>
              <w:t>2、防护等级：≥IP66；</w:t>
            </w:r>
          </w:p>
          <w:p>
            <w:pPr>
              <w:pStyle w:val="null3"/>
            </w:pPr>
            <w:r>
              <w:rPr>
                <w:rFonts w:ascii="仿宋_GB2312" w:hAnsi="仿宋_GB2312" w:cs="仿宋_GB2312" w:eastAsia="仿宋_GB2312"/>
                <w:sz w:val="24"/>
              </w:rPr>
              <w:t>3、具有过温、过载、10kV抗浪涌等保护功能；</w:t>
            </w:r>
          </w:p>
          <w:p>
            <w:pPr>
              <w:pStyle w:val="null3"/>
            </w:pPr>
            <w:r>
              <w:rPr>
                <w:rFonts w:ascii="仿宋_GB2312" w:hAnsi="仿宋_GB2312" w:cs="仿宋_GB2312" w:eastAsia="仿宋_GB2312"/>
                <w:sz w:val="24"/>
              </w:rPr>
              <w:t>4、具备调光功能、支持预留调光控制线功能；</w:t>
            </w:r>
          </w:p>
          <w:p>
            <w:pPr>
              <w:pStyle w:val="null3"/>
            </w:pPr>
            <w:r>
              <w:rPr>
                <w:rFonts w:ascii="仿宋_GB2312" w:hAnsi="仿宋_GB2312" w:cs="仿宋_GB2312" w:eastAsia="仿宋_GB2312"/>
                <w:sz w:val="24"/>
              </w:rPr>
              <w:t>（四）COB光源LED模组性能参数：</w:t>
            </w:r>
          </w:p>
          <w:p>
            <w:pPr>
              <w:pStyle w:val="null3"/>
            </w:pPr>
            <w:r>
              <w:rPr>
                <w:rFonts w:ascii="仿宋_GB2312" w:hAnsi="仿宋_GB2312" w:cs="仿宋_GB2312" w:eastAsia="仿宋_GB2312"/>
                <w:sz w:val="24"/>
              </w:rPr>
              <w:t>★1、光源模组为A 型标准模组尺寸，符合GB/T 35269-2017 标准中</w:t>
            </w:r>
            <w:r>
              <w:rPr>
                <w:rFonts w:ascii="仿宋_GB2312" w:hAnsi="仿宋_GB2312" w:cs="仿宋_GB2312" w:eastAsia="仿宋_GB2312"/>
                <w:sz w:val="24"/>
              </w:rPr>
              <w:t>A 型标准模组尺寸</w:t>
            </w:r>
            <w:r>
              <w:rPr>
                <w:rFonts w:ascii="仿宋_GB2312" w:hAnsi="仿宋_GB2312" w:cs="仿宋_GB2312" w:eastAsia="仿宋_GB2312"/>
                <w:sz w:val="24"/>
              </w:rPr>
              <w:t>的相关要求；</w:t>
            </w:r>
          </w:p>
          <w:p>
            <w:pPr>
              <w:pStyle w:val="null3"/>
            </w:pPr>
            <w:r>
              <w:rPr>
                <w:rFonts w:ascii="仿宋_GB2312" w:hAnsi="仿宋_GB2312" w:cs="仿宋_GB2312" w:eastAsia="仿宋_GB2312"/>
                <w:sz w:val="24"/>
              </w:rPr>
              <w:t>★2、LED模组防护等级：≥IP68；</w:t>
            </w:r>
          </w:p>
          <w:p>
            <w:pPr>
              <w:pStyle w:val="null3"/>
            </w:pPr>
            <w:r>
              <w:rPr>
                <w:rFonts w:ascii="仿宋_GB2312" w:hAnsi="仿宋_GB2312" w:cs="仿宋_GB2312" w:eastAsia="仿宋_GB2312"/>
                <w:sz w:val="24"/>
              </w:rPr>
              <w:t>★3、LED灯具透镜透光率：≥97%；</w:t>
            </w:r>
          </w:p>
          <w:p>
            <w:pPr>
              <w:pStyle w:val="null3"/>
            </w:pPr>
            <w:r>
              <w:rPr>
                <w:rFonts w:ascii="仿宋_GB2312" w:hAnsi="仿宋_GB2312" w:cs="仿宋_GB2312" w:eastAsia="仿宋_GB2312"/>
                <w:sz w:val="24"/>
              </w:rPr>
              <w:t>★4、LED灯具光通量维持率：3000h≥98%、10000h≥97%、15000h≥95%；</w:t>
            </w:r>
          </w:p>
          <w:p>
            <w:pPr>
              <w:pStyle w:val="null3"/>
            </w:pPr>
            <w:r>
              <w:rPr>
                <w:rFonts w:ascii="仿宋_GB2312" w:hAnsi="仿宋_GB2312" w:cs="仿宋_GB2312" w:eastAsia="仿宋_GB2312"/>
                <w:sz w:val="24"/>
              </w:rPr>
              <w:t>★5、LED模组单颗光源功率：≥10W；</w:t>
            </w:r>
          </w:p>
          <w:p>
            <w:pPr>
              <w:pStyle w:val="null3"/>
            </w:pPr>
            <w:r>
              <w:rPr>
                <w:rFonts w:ascii="仿宋_GB2312" w:hAnsi="仿宋_GB2312" w:cs="仿宋_GB2312" w:eastAsia="仿宋_GB2312"/>
                <w:sz w:val="24"/>
              </w:rPr>
              <w:t>★6、LED灯具的透镜耐候性：≥500小时、人工气候老化试验后透光率≥97%，并且通过透镜高温实验，即放置在500℃高温箱中≥2小时后不变形；</w:t>
            </w:r>
          </w:p>
          <w:p>
            <w:pPr>
              <w:pStyle w:val="null3"/>
            </w:pPr>
            <w:r>
              <w:rPr>
                <w:rFonts w:ascii="仿宋_GB2312" w:hAnsi="仿宋_GB2312" w:cs="仿宋_GB2312" w:eastAsia="仿宋_GB2312"/>
                <w:sz w:val="24"/>
              </w:rPr>
              <w:t>★7、LED灯具光源模组的透镜性能不低于:一体化光学玻璃透镜。透镜密封性能不低于：硅胶圈密封，并用铝合金框体压紧，螺钉紧固。不接受胶水点胶等密封方式。</w:t>
            </w:r>
          </w:p>
          <w:p>
            <w:pPr>
              <w:pStyle w:val="null3"/>
            </w:pPr>
            <w:r>
              <w:rPr>
                <w:rFonts w:ascii="仿宋_GB2312" w:hAnsi="仿宋_GB2312" w:cs="仿宋_GB2312" w:eastAsia="仿宋_GB2312"/>
                <w:sz w:val="24"/>
              </w:rPr>
              <w:t>注：（1）技术参数要求中若出现相关品牌或特定标准，均为参考，供应商可投标其他品牌或同等技术标准。</w:t>
            </w:r>
          </w:p>
          <w:p>
            <w:pPr>
              <w:pStyle w:val="null3"/>
            </w:pPr>
            <w:r>
              <w:rPr>
                <w:rFonts w:ascii="仿宋_GB2312" w:hAnsi="仿宋_GB2312" w:cs="仿宋_GB2312" w:eastAsia="仿宋_GB2312"/>
                <w:sz w:val="24"/>
              </w:rPr>
              <w:t>（2）本项目采购核心产品为“COB光源LED模组”。</w:t>
            </w:r>
          </w:p>
          <w:p>
            <w:pPr>
              <w:pStyle w:val="null3"/>
            </w:pPr>
            <w:r>
              <w:rPr>
                <w:rFonts w:ascii="仿宋_GB2312" w:hAnsi="仿宋_GB2312" w:cs="仿宋_GB2312" w:eastAsia="仿宋_GB2312"/>
                <w:sz w:val="24"/>
              </w:rPr>
              <w:t>（3）供应商投标文件需逐一对技术要求中 “★项参数”进行详细准确的响应，对“★项参数”未明确要求佐证材料类型的，应提供具备产品制造商公章的佐证材料复印件，佐证材料包括但不限于：产品质量认证证书或功能截图或技术参数彩页或第三方检验机构出具的检验报告（报告具备CMA、CNAS标识）等。佐证材料应清晰准确，并与供应商该项产品参数响应表填写内容完全一致。不满足以上要求时，按重大负偏离处理。</w:t>
            </w:r>
          </w:p>
          <w:p>
            <w:pPr>
              <w:pStyle w:val="null3"/>
            </w:pPr>
            <w:r>
              <w:rPr>
                <w:rFonts w:ascii="仿宋_GB2312" w:hAnsi="仿宋_GB2312" w:cs="仿宋_GB2312" w:eastAsia="仿宋_GB2312"/>
                <w:sz w:val="24"/>
              </w:rPr>
              <w:t>（4）供应商投标产品为定制化，供货产品需满足现场安装及采购人具体要求。</w:t>
            </w:r>
          </w:p>
          <w:p>
            <w:pPr>
              <w:pStyle w:val="null3"/>
            </w:pPr>
            <w:r>
              <w:rPr>
                <w:rFonts w:ascii="仿宋_GB2312" w:hAnsi="仿宋_GB2312" w:cs="仿宋_GB2312" w:eastAsia="仿宋_GB2312"/>
                <w:sz w:val="24"/>
              </w:rPr>
              <w:t xml:space="preserve"> </w:t>
            </w:r>
          </w:p>
          <w:p>
            <w:pPr>
              <w:pStyle w:val="null3"/>
            </w:pPr>
            <w:r>
              <w:rPr>
                <w:rFonts w:ascii="仿宋_GB2312" w:hAnsi="仿宋_GB2312" w:cs="仿宋_GB2312" w:eastAsia="仿宋_GB2312"/>
              </w:rPr>
              <w:t xml:space="preserve"> </w:t>
            </w:r>
          </w:p>
          <w:p>
            <w:pPr>
              <w:pStyle w:val="null3"/>
              <w:spacing w:after="165"/>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自签订合同之日起10天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其他，供应商按期交付，达到付款条件起10个工作日内，支付合同总金额的100.0%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满足国家及行业相关规定，满足采购文件及采购人相关要求。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1、质保期：自验收合格之日起不少于5年（供应商投标承诺高于招标文件的，按标准高者执行）。 2、质保范围：合同范围的全部内容 。</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未按合同要求提供服务或服务质量不能满足合同要求，采购人应当将服务商违约的情况以及拟采取的措施以书面形式报政府采购监管部门，根据政府采购监管部门的处理意见，采购人有权依据《民法典》有关条款及合同约定终止合同，并要求服务商承担违约责任。同时，政府采购监管部门有权依据《政府采购法》及相关法律法规对服务商的违法行为进行相应的处罚。 （二）按《民法典》中的相关条款进行商定并补充。</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供应商供货产品需满足：按采购人要求对相应路段对原有灯具进行测量建模，根据测量结果按要求定制COB光源、光学玻璃透镜、相应的转接板适配尺寸和外形等。供货产品最终尺寸和外形等要求，以采购人确认的定制方案为准； 二、项目验收时，供应商需提供不少于本次采购数量5%的备品备件。 三、实施方案及服务承诺响应要求： 1、实施方案至少需包含供货计划、安装调试计划、培训交付计划；服务承诺至少需包含免费质保期承诺、备品备件的规格数量清单、质保期内免费维保内容范围清单、故障处理响应时间、质保期外维保范围及收费清单。2、供应商投标实施方案及服务承诺响应内容满足招标文件要求，无负偏离、无缺漏及瑕疵（其中瑕疵是指，出现以下任意一项：逻辑混乱、不合理性内容表述、出现常识性错误、存在不适用本项目实际情况的情形或只有标题没有实质性内容等）。3、实施方案及服务承诺不满足响应上述要求的，按符合性评审不合格处理。 四、投标文件 1、若中标，中标供应商在领取中标通知书或签订合同时提供纸质版投标文件2套，投标文件应通过专用制作软件直接打印，确保与电子投标文件保持 一致，不允许修改和补充。 五、投标报价 1、供应商的投标报价是供应商响应投标项目要求的全部工作内容的价格体现，包括供应商完成本项目所需的直接费、间接费、利润、税金及其它相关的一切费用。包括但不限于：人工费、设备费、管理费、验收费、采购代理服务费、利润和税金等全部费用。 2、在提供服务的过程中的任何遗漏，均由成交供应商免费提供，采购人将不再支付任何费用。 六、投标有效期 1、出现特殊情况需要延长投标有效期的，采购代理机构或采购人可于投标有效期满之前，以书面形式通知所有供应商延长投标有效期。供应商应予书面答复，同意延长的，应相应延长其投标保证金有效期，但不得要求或被允许修改其响应文件；供应商拒绝延长的，其响应文件失效，递交投标保证金的，供应商有权收回其投标保证金。 2、在投标有效期内，供应商撤销响应文件的，应承担投标文件和法律规定的责任。 3、中标供应商的投标有效期自动延长至合同终止为止。 七、若出现合格供应商少于3家时，采购人应依法重新组织采购活动。 六、分公司独立参与投标时，不能使用总公司的资质或业绩；总公司单独参与投标时，除总公司所投产品为分公司生产的产品外，不能使用分公司的资质或业绩。总公司授权分公司或分支机构参与投标，可以使用总公司的资质或业绩。 八、恶意质疑、投诉的法律后果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九、签名是指手写签名或者加盖姓名章(含电子签名或电子印章)，盖章是指加盖单位印章。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关于符合本国产品标准的声明函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w:t>
            </w:r>
          </w:p>
        </w:tc>
        <w:tc>
          <w:tcPr>
            <w:tcW w:type="dxa" w:w="3322"/>
          </w:tcPr>
          <w:p>
            <w:pPr>
              <w:pStyle w:val="null3"/>
            </w:pPr>
            <w:r>
              <w:rPr>
                <w:rFonts w:ascii="仿宋_GB2312" w:hAnsi="仿宋_GB2312" w:cs="仿宋_GB2312" w:eastAsia="仿宋_GB2312"/>
              </w:rPr>
              <w:t>供应商应授权合法的人员参加投标，其中法定代表人直接参加的，须出具法定代表人证明书，并与营业执照上信息一致；被授权代表参加的，须出具法定代表人授权书及被授权人身份证；（非法人单位的负责人均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审查投标货物技术参数</w:t>
            </w:r>
          </w:p>
        </w:tc>
        <w:tc>
          <w:tcPr>
            <w:tcW w:type="dxa" w:w="3322"/>
          </w:tcPr>
          <w:p>
            <w:pPr>
              <w:pStyle w:val="null3"/>
            </w:pPr>
            <w:r>
              <w:rPr>
                <w:rFonts w:ascii="仿宋_GB2312" w:hAnsi="仿宋_GB2312" w:cs="仿宋_GB2312" w:eastAsia="仿宋_GB2312"/>
              </w:rPr>
              <w:t>审查投标货物技术参数是否满足采购文件要求</w:t>
            </w:r>
          </w:p>
        </w:tc>
        <w:tc>
          <w:tcPr>
            <w:tcW w:type="dxa" w:w="1661"/>
          </w:tcPr>
          <w:p>
            <w:pPr>
              <w:pStyle w:val="null3"/>
            </w:pPr>
            <w:r>
              <w:rPr>
                <w:rFonts w:ascii="仿宋_GB2312" w:hAnsi="仿宋_GB2312" w:cs="仿宋_GB2312" w:eastAsia="仿宋_GB2312"/>
              </w:rPr>
              <w:t>响应文件封面 产品技术参数表 “★项参数”响应表.docx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审查投标文件商务要求</w:t>
            </w:r>
          </w:p>
        </w:tc>
        <w:tc>
          <w:tcPr>
            <w:tcW w:type="dxa" w:w="3322"/>
          </w:tcPr>
          <w:p>
            <w:pPr>
              <w:pStyle w:val="null3"/>
            </w:pPr>
            <w:r>
              <w:rPr>
                <w:rFonts w:ascii="仿宋_GB2312" w:hAnsi="仿宋_GB2312" w:cs="仿宋_GB2312" w:eastAsia="仿宋_GB2312"/>
              </w:rPr>
              <w:t>审查投标文件商务响应是否满足采购文件要求</w:t>
            </w:r>
          </w:p>
        </w:tc>
        <w:tc>
          <w:tcPr>
            <w:tcW w:type="dxa" w:w="1661"/>
          </w:tcPr>
          <w:p>
            <w:pPr>
              <w:pStyle w:val="null3"/>
            </w:pPr>
            <w:r>
              <w:rPr>
                <w:rFonts w:ascii="仿宋_GB2312" w:hAnsi="仿宋_GB2312" w:cs="仿宋_GB2312" w:eastAsia="仿宋_GB2312"/>
              </w:rPr>
              <w:t>响应文件封面 实施方案及服务承诺.docx 投标报价组成明细表.docx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审查投标文件签署、盖章、格式</w:t>
            </w:r>
          </w:p>
        </w:tc>
        <w:tc>
          <w:tcPr>
            <w:tcW w:type="dxa" w:w="3322"/>
          </w:tcPr>
          <w:p>
            <w:pPr>
              <w:pStyle w:val="null3"/>
            </w:pPr>
            <w:r>
              <w:rPr>
                <w:rFonts w:ascii="仿宋_GB2312" w:hAnsi="仿宋_GB2312" w:cs="仿宋_GB2312" w:eastAsia="仿宋_GB2312"/>
              </w:rPr>
              <w:t>审查投标文件签署、盖章、格式是否满足采购文件要求</w:t>
            </w:r>
          </w:p>
        </w:tc>
        <w:tc>
          <w:tcPr>
            <w:tcW w:type="dxa" w:w="1661"/>
          </w:tcPr>
          <w:p>
            <w:pPr>
              <w:pStyle w:val="null3"/>
            </w:pPr>
            <w:r>
              <w:rPr>
                <w:rFonts w:ascii="仿宋_GB2312" w:hAnsi="仿宋_GB2312" w:cs="仿宋_GB2312" w:eastAsia="仿宋_GB2312"/>
              </w:rPr>
              <w:t>投标报价组成明细表.docx 中小企业声明函 商务应答表 报价表 响应文件封面 产品技术参数表 供应商应提交的相关资格证明材料.docx 残疾人福利性单位声明函 “★项参数”响应表.docx 标的清单 关于符合本国产品标准的声明函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投标报价组成明细表.docx 标的清单 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本项目授权谈判小组直接确认成交供应商，确认后代理机构在陕西省政府采购网上发布成交结果公告，同时向成交供应商发出成交通知书。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详见附件：“★项参数”响应表.docx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详见附件：实施方案及服务承诺.docx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详见附件：投标报价组成明细表.docx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