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F283E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bdr w:val="none" w:color="auto" w:sz="0" w:space="0"/>
          <w:shd w:val="clear" w:fill="FFFFFF"/>
        </w:rPr>
        <w:t>谈判项目技术、服务、商务及其他要求</w:t>
      </w:r>
    </w:p>
    <w:p w14:paraId="1A4FF33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F243C7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52C5371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含网关、交换机、机柜、网络存储服务器、监控硬盘、光模块、网络摄像机、辅材辅料及改造等网络及监控设备一批，改善教学品质与能力提升，要求所有货物（产品）质量标准符合国家、省、市（行业）强制性标准及采购人要求的合格标准、安装调试到位、验收合格达到交钥匙条件。</w:t>
      </w:r>
    </w:p>
    <w:p w14:paraId="5233B8C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579152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ECE6C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883,000.00</w:t>
      </w:r>
    </w:p>
    <w:p w14:paraId="39EAB7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883,000.00</w:t>
      </w:r>
    </w:p>
    <w:p w14:paraId="1D4146C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450657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2882"/>
        <w:gridCol w:w="483"/>
        <w:gridCol w:w="973"/>
        <w:gridCol w:w="487"/>
        <w:gridCol w:w="487"/>
        <w:gridCol w:w="492"/>
        <w:gridCol w:w="496"/>
        <w:gridCol w:w="496"/>
        <w:gridCol w:w="500"/>
        <w:gridCol w:w="500"/>
      </w:tblGrid>
      <w:tr w14:paraId="444116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D4D78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73F66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C9BC1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A7FFD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0CCDB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C9DD5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1A06A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3F039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2872E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5EF07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9A457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04593BD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B4A68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28E3F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网络设备改造及监控新增</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3AF231">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6337F7">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883,000.00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00BC4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392B4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2866F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98680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943D0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23803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9313A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26217FD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3F8EB48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538FF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标的名称：网络设备改造及监控新增</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044355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CCDC1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DD520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1DE35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14ABAB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1E01F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441AEC">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DF90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ascii="仿宋" w:hAnsi="仿宋" w:eastAsia="仿宋" w:cs="仿宋"/>
                <w:color w:val="000000"/>
                <w:sz w:val="22"/>
                <w:szCs w:val="22"/>
                <w:bdr w:val="none" w:color="auto" w:sz="0" w:space="0"/>
              </w:rPr>
              <w:t>1.</w:t>
            </w:r>
            <w:r>
              <w:rPr>
                <w:rStyle w:val="8"/>
                <w:rFonts w:hint="eastAsia" w:ascii="仿宋" w:hAnsi="仿宋" w:eastAsia="仿宋" w:cs="仿宋"/>
                <w:color w:val="000000"/>
                <w:sz w:val="22"/>
                <w:szCs w:val="22"/>
                <w:bdr w:val="none" w:color="auto" w:sz="0" w:space="0"/>
              </w:rPr>
              <w:t>采购需求及要求</w:t>
            </w:r>
          </w:p>
          <w:p w14:paraId="07DEE7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105" w:firstLine="0"/>
              <w:jc w:val="both"/>
              <w:rPr>
                <w:rFonts w:hint="eastAsia" w:ascii="宋体" w:hAnsi="宋体" w:eastAsia="宋体" w:cs="宋体"/>
                <w:sz w:val="18"/>
                <w:szCs w:val="18"/>
              </w:rPr>
            </w:pPr>
            <w:r>
              <w:rPr>
                <w:rStyle w:val="8"/>
                <w:rFonts w:hint="eastAsia" w:ascii="仿宋" w:hAnsi="仿宋" w:eastAsia="仿宋" w:cs="仿宋"/>
                <w:color w:val="000000"/>
                <w:sz w:val="22"/>
                <w:szCs w:val="22"/>
                <w:bdr w:val="none" w:color="auto" w:sz="0" w:space="0"/>
              </w:rPr>
              <w:t>1.1采购需求清单：</w:t>
            </w:r>
            <w:r>
              <w:rPr>
                <w:rFonts w:hint="eastAsia" w:ascii="仿宋" w:hAnsi="仿宋" w:eastAsia="仿宋" w:cs="仿宋"/>
                <w:color w:val="000000"/>
                <w:sz w:val="22"/>
                <w:szCs w:val="22"/>
                <w:bdr w:val="none" w:color="auto" w:sz="0" w:space="0"/>
              </w:rPr>
              <w:t>详见附件：</w:t>
            </w:r>
            <w:r>
              <w:rPr>
                <w:rFonts w:ascii="仿宋_GB2312" w:hAnsi="宋体" w:eastAsia="仿宋_GB2312" w:cs="仿宋_GB2312"/>
                <w:color w:val="000000"/>
                <w:sz w:val="20"/>
                <w:szCs w:val="20"/>
                <w:bdr w:val="none" w:color="auto" w:sz="0" w:space="0"/>
              </w:rPr>
              <w:t>网络设备改造及监控新增采购需求一览表</w:t>
            </w:r>
            <w:r>
              <w:rPr>
                <w:rFonts w:hint="eastAsia" w:ascii="仿宋" w:hAnsi="仿宋" w:eastAsia="仿宋" w:cs="仿宋"/>
                <w:color w:val="000000"/>
                <w:sz w:val="22"/>
                <w:szCs w:val="22"/>
                <w:bdr w:val="none" w:color="auto" w:sz="0" w:space="0"/>
              </w:rPr>
              <w:t>。</w:t>
            </w:r>
            <w:r>
              <w:rPr>
                <w:rStyle w:val="8"/>
                <w:rFonts w:hint="eastAsia" w:ascii="仿宋" w:hAnsi="仿宋" w:eastAsia="仿宋" w:cs="仿宋"/>
                <w:color w:val="000000"/>
                <w:sz w:val="22"/>
                <w:szCs w:val="22"/>
                <w:bdr w:val="none" w:color="auto" w:sz="0" w:space="0"/>
              </w:rPr>
              <w:t>本项目核心产品为：</w:t>
            </w:r>
            <w:r>
              <w:rPr>
                <w:rFonts w:hint="eastAsia" w:ascii="仿宋" w:hAnsi="仿宋" w:eastAsia="仿宋" w:cs="仿宋"/>
                <w:color w:val="000000"/>
                <w:sz w:val="22"/>
                <w:szCs w:val="22"/>
                <w:bdr w:val="none" w:color="auto" w:sz="0" w:space="0"/>
              </w:rPr>
              <w:t>网络存储服务器。</w:t>
            </w:r>
          </w:p>
          <w:p w14:paraId="51C410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1.2质量标准：（1）所有货物（产品）、服务符合国家、省、市（行业）强制性标准及采购人要求的合格标准；</w:t>
            </w:r>
          </w:p>
          <w:p w14:paraId="78DD2A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3FC3DA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105"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325834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1.3产品“三包”要求：货物（产品）属于国家规定的“三包产品”，产品制造商、经销代理商应遵守“三包”的规定，在产品发生质量问题时，及时对所提供产品实行“包退、包换、保修”服务。</w:t>
            </w:r>
          </w:p>
          <w:p w14:paraId="6B9D75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2F413E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1.5包装方式及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70B145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1.6为保证货物（软件和硬件）质量功能的严谨性，中标（成交）后采购人有权要求成交供应商对其所提供的设备（产品）（包含软件和硬件）的功能进行逐一演示，如有功能与实际不相符，一律按虚假应标处理，由成交供应商承担因此产生的一切后果和责任。</w:t>
            </w:r>
          </w:p>
          <w:p w14:paraId="02338A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1.7供应商应保证投标所提供第三方资料内容真实、完整、准确；如有相关第三方书面声明、相关检测报告等资料虚假，监管部门有权根据调查情形认定其是否属于提供虚假材料谋取中标（成交），并严肃处理。</w:t>
            </w:r>
          </w:p>
          <w:p w14:paraId="46803A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1.8售后服务要求：（1）成交供应商须指派专人负责与采购人联系售后服务事宜。售后服务条款（包括具体的服务内容、故障响应时间、响应方式、维修措施及时限、维护响应计划等方面）。</w:t>
            </w:r>
          </w:p>
          <w:p w14:paraId="318412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（2）成交供应商负责货物(含软件)的现场安装、调试、测试和启动等。</w:t>
            </w:r>
          </w:p>
          <w:p w14:paraId="782C24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1396B8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540B11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0C0F38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35710C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3AAB7E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20C793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（9）质保期结束后的其他维修、维护等由双方协商再定。</w:t>
            </w:r>
          </w:p>
          <w:p w14:paraId="7A78D2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2"/>
                <w:szCs w:val="22"/>
                <w:bdr w:val="none" w:color="auto" w:sz="0" w:space="0"/>
              </w:rPr>
              <w:t>2.其他要求或说明</w:t>
            </w:r>
          </w:p>
          <w:p w14:paraId="6173B8E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6D7D43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49B101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2.3设施设备要求：供应商根据采购项目特性及要求，自行配置投入履行合同所必需的各类设施设备（不限于专业设备、辅助设备、工具、软件等），保证项目顺利实施。</w:t>
            </w:r>
          </w:p>
          <w:p w14:paraId="4A6006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2.4本项目采购标的所属行业为:</w:t>
            </w:r>
            <w:r>
              <w:rPr>
                <w:rFonts w:hint="eastAsia" w:ascii="宋体" w:hAnsi="宋体" w:eastAsia="宋体" w:cs="宋体"/>
                <w:color w:val="000000"/>
                <w:sz w:val="22"/>
                <w:szCs w:val="22"/>
                <w:u w:val="single"/>
                <w:bdr w:val="none" w:color="auto" w:sz="0" w:space="0"/>
              </w:rPr>
              <w:t> </w:t>
            </w:r>
            <w:r>
              <w:rPr>
                <w:rFonts w:hint="eastAsia" w:ascii="仿宋" w:hAnsi="仿宋" w:eastAsia="仿宋" w:cs="仿宋"/>
                <w:color w:val="000000"/>
                <w:sz w:val="22"/>
                <w:szCs w:val="22"/>
                <w:u w:val="single"/>
                <w:bdr w:val="none" w:color="auto" w:sz="0" w:space="0"/>
              </w:rPr>
              <w:t>工业</w:t>
            </w:r>
            <w:r>
              <w:rPr>
                <w:rFonts w:hint="eastAsia" w:ascii="宋体" w:hAnsi="宋体" w:eastAsia="宋体" w:cs="宋体"/>
                <w:color w:val="000000"/>
                <w:sz w:val="22"/>
                <w:szCs w:val="22"/>
                <w:u w:val="single"/>
                <w:bdr w:val="none" w:color="auto" w:sz="0" w:space="0"/>
              </w:rPr>
              <w:t> </w:t>
            </w:r>
            <w:r>
              <w:rPr>
                <w:rFonts w:hint="eastAsia" w:ascii="仿宋" w:hAnsi="仿宋" w:eastAsia="仿宋" w:cs="仿宋"/>
                <w:color w:val="000000"/>
                <w:sz w:val="22"/>
                <w:szCs w:val="22"/>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5E8681B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0F5103E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1CD90C9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C8CF8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自合同签订生效之日起30日内完成供货、安装、调试、验收</w:t>
      </w:r>
    </w:p>
    <w:p w14:paraId="6BF30B1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3.4.2交货地点和方式</w:t>
      </w:r>
    </w:p>
    <w:p w14:paraId="1648257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89E9C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西安市雁塔区第二小学(具体按采购人指定地点)</w:t>
      </w:r>
    </w:p>
    <w:p w14:paraId="610BD30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6E71029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A66306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一次付清</w:t>
      </w:r>
    </w:p>
    <w:p w14:paraId="0FFD255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36D7C7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852E5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其他，所有货物交货完成，验收合格 (付款前成交供应商应出具等值发票交至采购人，采购人以银行转账方式支付；其他具体按拟签订采购合同相关条款执行后)，达到付款条件起10个工作日内，支付合同总金额的100.0%</w:t>
      </w:r>
    </w:p>
    <w:p w14:paraId="0C0158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3664EEB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F86A8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若验收不通过或质量不合格，成交供应商应在一定期限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具体按拟定合同相关条款执行。</w:t>
      </w:r>
    </w:p>
    <w:p w14:paraId="2BB9C11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7587B7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A5C53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1C984F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57C7FA6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B7C445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(一)本项目整体质保期≥12个月，供应商承诺超过采购文件要求的，按其承诺的质保期进行质保，质保期起始时间为终验合格之日。 (二)本项目合同履行期限为自合同签订之日起至质保期结束。中标人应保证在要求时间内完成全部供货、安装、调试、验收和培训工作(或其他伴随服务)等工作，并按其承诺的质量保修范围和内容(售后服务等)进行免费质保，且符合国家标准、行业规范和合同等相关文件的要求。</w:t>
      </w:r>
    </w:p>
    <w:p w14:paraId="312FDD8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3.4.8违约责任及解决争议的方法</w:t>
      </w:r>
    </w:p>
    <w:p w14:paraId="2C8E31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FD310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具体按拟定合同相关条款执行。</w:t>
      </w:r>
    </w:p>
    <w:p w14:paraId="5E1A779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3.5其他要求</w:t>
      </w:r>
    </w:p>
    <w:p w14:paraId="56C753D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8ABD57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i w:val="0"/>
          <w:iCs w:val="0"/>
          <w:caps w:val="0"/>
          <w:color w:val="0A82E5"/>
          <w:spacing w:val="0"/>
          <w:sz w:val="18"/>
          <w:szCs w:val="18"/>
          <w:bdr w:val="none" w:color="auto" w:sz="0" w:space="0"/>
          <w:shd w:val="clear" w:fill="FFFFFF"/>
        </w:rPr>
      </w:pPr>
      <w:r>
        <w:rPr>
          <w:rFonts w:hint="eastAsia" w:ascii="宋体" w:hAnsi="宋体" w:eastAsia="宋体" w:cs="宋体"/>
          <w:i w:val="0"/>
          <w:iCs w:val="0"/>
          <w:caps w:val="0"/>
          <w:color w:val="0A82E5"/>
          <w:spacing w:val="0"/>
          <w:sz w:val="18"/>
          <w:szCs w:val="18"/>
          <w:bdr w:val="none" w:color="auto" w:sz="0" w:space="0"/>
          <w:shd w:val="clear" w:fill="FFFFFF"/>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2885EC97">
      <w:pPr>
        <w:pStyle w:val="9"/>
        <w:keepNext w:val="0"/>
        <w:keepLines w:val="0"/>
        <w:pageBreakBefore w:val="0"/>
        <w:widowControl/>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附件：</w:t>
      </w:r>
    </w:p>
    <w:p w14:paraId="760C4D73">
      <w:pPr>
        <w:spacing w:line="300" w:lineRule="auto"/>
        <w:ind w:firstLine="422" w:firstLineChars="200"/>
        <w:jc w:val="center"/>
        <w:rPr>
          <w:rFonts w:hint="eastAsia" w:ascii="仿宋_GB2312" w:hAnsi="仿宋_GB2312" w:eastAsia="仿宋_GB2312" w:cs="仿宋_GB2312"/>
          <w:b/>
          <w:bCs/>
          <w:sz w:val="24"/>
          <w:szCs w:val="24"/>
          <w:highlight w:val="none"/>
          <w:lang w:val="en-US" w:eastAsia="zh-CN"/>
        </w:rPr>
      </w:pPr>
      <w:r>
        <w:rPr>
          <w:rFonts w:hint="eastAsia" w:ascii="宋体" w:hAnsi="宋体" w:eastAsia="宋体" w:cs="宋体"/>
          <w:b/>
          <w:color w:val="000000"/>
          <w:sz w:val="21"/>
          <w:szCs w:val="21"/>
          <w:highlight w:val="none"/>
        </w:rPr>
        <w:t>网络设备改造及监控新增采购需求一览表</w:t>
      </w:r>
    </w:p>
    <w:tbl>
      <w:tblPr>
        <w:tblStyle w:val="6"/>
        <w:tblW w:w="5376" w:type="pct"/>
        <w:tblInd w:w="-27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80"/>
        <w:gridCol w:w="1617"/>
        <w:gridCol w:w="4978"/>
        <w:gridCol w:w="894"/>
        <w:gridCol w:w="794"/>
      </w:tblGrid>
      <w:tr w14:paraId="4B422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2700B5B7">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一、网络设备换新   </w:t>
            </w:r>
          </w:p>
        </w:tc>
      </w:tr>
      <w:tr w14:paraId="5C66B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AD8D09B">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序号</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89A55A8">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名称</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DF018C2">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参数要求</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DF24AEC">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单位</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37A788A">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数量</w:t>
            </w:r>
          </w:p>
        </w:tc>
      </w:tr>
      <w:tr w14:paraId="6B775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1D41A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0538BB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网关</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72259A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1.★支持千兆电口≥8个，千兆光口≥2个，万兆光口≥2个。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2.支持带机终端≥1000台。</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3.支持并发隧道数≥600，支持Web认证、本地服务器认证。</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4.支持应用流控、支持整网管理应用会话抑制、应用流控、应用控制、URL阻断，支持应用路由、策略路由等多类型路由，支持MACC云平台与APP管理。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5.支持硬盘扩展 ，支持威胁情报库授权。</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0BE08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C336B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05B78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8"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5B7CC9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17FF36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防火墙</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CAABC4D">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1.产品千兆电口≥8个；千兆光口数量≥2个；万兆光口数量≥4个。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2.产品扩展槽≥2个；1U高度，电源数量≥1个。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3.支持扩展热插拔冗余电源。</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4.支持扩展≥1T企业级硬盘。</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5.支持MACC/APP远程云管理。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6.支持授权提供1年入侵防御、防病毒、应用识别特征库升级。</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7.IPv4性能要求：万兆吞吐量≥3Gbps。</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8EA3A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3EC96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E14C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20DD98">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DCE8F6">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27A1B9C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入侵防御、防病毒、应用识别特征库三合一授权，每个授权提供1年入侵防御、防病毒、应用识别特征库升级。</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CC1F2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51BE6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r>
      <w:tr w14:paraId="486A3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6"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57F7DD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698CEA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行为审计</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07528A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1.整机支持≥6个千兆电口，≥2个千兆光口，≥2个万兆光口。         </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★2.支持≥1TB的硬盘存储。                                                                                                                      </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3.设备最大吞吐≥1Gbps，全功能开启适用审计带宽≥100Mbps，整机最大支持并发连接数≥50万，整机每秒新建连接数≥7000/秒。</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4.支持自定义设置识别方式的可信度；支持再次违规，多倍惩罚；支持旁路防共享。         </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5.并支持指定静态ARP；支持Web管理IPv6邻居表查看，并支持指定静态。 </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C4363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654654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2F810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5468AF">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250C68">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1385D1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应用识别特征库+URL库升级授权，每个授权提供≥1年库升级服务，授权到期后不能影响功能使用。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79619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ADDB3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255DB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05D0DD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6B1AB1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核心交换</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528A88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配套业务线卡，48个千兆电口+2个万兆光口。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8120D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64684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张</w:t>
            </w:r>
          </w:p>
        </w:tc>
      </w:tr>
      <w:tr w14:paraId="31923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AF254A">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11145D">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B4C8C9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1.产品支持≥48个千兆电口，≥2个万兆光口。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2.支持实现以太网数据包的转发、过滤、交换等功能；</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★3.整机独立板卡插槽≥3个；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4.配置的业务卡支持 1000Base-T 接口、1000Base-LX 接口和 10GBase-LR 接口。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5.支持端口镜像、端口聚合等功能，可以通过Web 等方式对设备进行管理。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6.支持用户访问控制、MAC 地址绑定功能；支持基于源 MAC、目的 MAC 的 ACL 功能，支持 SNMPv1/v2。</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5301A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30EA94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363FB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E88FD1">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FDA540">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613D9F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电源模块（交流，300W）</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E5D28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E2CDB1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1693B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751160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D0377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吸顶AP</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FB0BA2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1.支持接入终端数≥100台，适用高密环境。</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2.支持双LAN口上联，内置天线。</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3.支持2.4GHz/5GHz双频通信，支持802.11a/b/g/n/ac Wave1/Wave2/ax协议，支持Wi-Fi 6 160M频宽。</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4.整机最大接入速率≥2900Mbps。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5.支持AP与路由两种工作模式，支持APP管理。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6.支持802.3at PoE标准供电。</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485B9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36C8B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9E07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5D5DD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9EC3F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POE交换</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A2CC64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1.支持交换容量≥336Gbps，包转发率≥78Mpps。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2.支持≥24个10/100/1000Mbps电口，且电口(支持POE/POE+，POE功率370W)，≥固化4个SFP千兆光口。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3.支持VLAN、ACL、端口镜像、端口聚合等功能。</w:t>
            </w:r>
          </w:p>
          <w:p w14:paraId="3B13B3A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4.支持APP和MACC云平台统一管理。</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654BF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2A4F4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07688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03CF1B8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556395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办公室接入交换机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963E13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1.实配固化千兆电接口数≥8个，最大可用端口≥8个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2.交换容量≥16Gbps，包转发率≥12Mpps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3.为了保证交换机使用寿命，防雷等级≥4kV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4.mac表项容量≥4K</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5.工作温度0℃~40℃。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19E35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36023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12EE1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3"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B0C5E1">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DDBA59">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F67C4A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1.实配固化千兆电接口数≥5个，最大可用端口≥5个。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2.交换容量≥10Gbps，包转发率≥7.5Mpps。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3.mac表项容量≥2K。</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4.防雷等级≥4kV。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5.工作温度0℃~40℃。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6E068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228E1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46FEF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E9E233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8B51E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24口千兆交换</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2819614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1.支持≥24个10/100/1000Mbps自适应电口+2个1000Mbps上联SFP光口。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2.支持24个口PoE/PoE+供电，整机最大PoE输出功率≥230W。</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3.交换机容量≥52Gbps，包转发率≥39Mpps。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4.材质：金属外壳，支持6kV防雷，支持机架式安装。</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4AC5F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F6B5D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27567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F3C83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4B3B29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16口千兆交换</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992B3F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1.支持≥16个10/100/1000Mbps自适应电口+1个10/100/1000Mbps上联电口+自适应上联电口+1个1000Mbps上联SFP光口。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2.支持16个口PoE/PoE+供电，整机最大PoE输出功率180W。</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3.交换机容量≥36Gbps，包转发率≥27Mpps。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4.材质：金属外壳，支持6kV防雷，支持机架式安装，支持桌面式安装。</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8BB76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13577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D7F2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7E04EE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1E4EE4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AP面板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F6ED0A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1.支持1775M双频千兆，WAN/PoE上联端口≥1个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2.支持内置天线，支持2.4GHz/5GHz双频通信，支持802.11a/b/g/n/ac Wave1/Wave2/ax协议。</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3.支持AP与路由两种工作模式，支持二层漫游。</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4.支持一体化组网，支持APP管理。支持PoE供电。</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2556B6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5FDEE9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00E90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D20D3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31A6F38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6U机柜</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7FC372F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机柜尺寸：高350mm*宽600mm*深450mm;</w:t>
            </w:r>
          </w:p>
          <w:p w14:paraId="2E978D4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内容量：6U,保19英寸；</w:t>
            </w:r>
          </w:p>
          <w:p w14:paraId="17921AC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主要材质：优质冷扎钢板，，厚度：承重方孔条1.5mm；侧板0.8mm;</w:t>
            </w:r>
          </w:p>
          <w:p w14:paraId="3EAC08C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配置：隔板1块 ，方螺母螺钉10套，前门玻璃门，后门铁网门（前后门的玻璃门、钢板门、网孔门可更换），可以快速装卸框架结构，快开侧门，方便安装和维修；可关闭的上部和下部走线通道；落地安装；落地安装时可以选配支脚或脚轮；防护等级：IP20</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141EBD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758692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2D46D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3474D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47CEF5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网线</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613ADD61">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符合国标的六类网线，每箱305米。 </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13549F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224EF5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箱</w:t>
            </w:r>
          </w:p>
        </w:tc>
      </w:tr>
      <w:tr w14:paraId="77EDD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88244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16E14D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管材</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39E431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符合国标和实际使用的39*18.mmA类材料</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D90329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040D698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5D100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C1253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04730C5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辅材辅料</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ADD74F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符合国标和实际使用轧带，水晶头，电胶带，自攻丝，胀管，膨胀螺丝，波纹软管，86底盒，网络模块等辅材辅料</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D687B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187F044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项</w:t>
            </w:r>
          </w:p>
        </w:tc>
      </w:tr>
      <w:tr w14:paraId="5A02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F92F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2E3903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技术服务</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BBF595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现场协调，安排工人，现场突发状况解决，现场安全保障，布线，原有网线拆除，设备安装，调试，整理线缆，机柜整理，线材标识等</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F1F77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63EC300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项</w:t>
            </w:r>
          </w:p>
        </w:tc>
      </w:tr>
      <w:tr w14:paraId="505A2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0D65260E">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二、监控新增及改造</w:t>
            </w:r>
          </w:p>
        </w:tc>
      </w:tr>
      <w:tr w14:paraId="66B84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84F57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6BAF20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4芯单模光纤</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74EE20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符合国标的4芯国标束状光缆</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FE4F7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6600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0DBD4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12232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6BD8E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57897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网络存储服务器</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A14D81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★1.支持≥1个RS232串口/CONSOLE接口，≥1个VGA接口，≥2个USB2.0接口，支持可热插拔。</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2.支持≥1颗64位8核处理器，标配≥8GB内存，内置EMMC系统盘和IOT企业级硬盘，硬盘数量可按需配置，最大可配置≥24块；最多支持≥2个风扇，可热插拔冗余温控调速风扇。</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3.支持通过IE浏览器设置RAID组为RAID0、RAID1、RAID5、RAID6、RAID10、RAID50、VRAID模式，并支持RAID即建即用（RAID创建后拔掉任意一块硬盘都不影响数据读写）。</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4.应能在RAID内丢失2块（含）以上硬盘但至少有1块正常磁盘时，无需等待丢失盘恢复，保留的硬盘中的数据可正常读出，且新数据可正常写入。</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5.RAID模式下，当RAID内某一块硬盘发生故障，更换该硬盘或热备盘替换时，可自动进行RAID重构。当RAID处于降级或重构状态下，不影响数据写入。且存储的数据不丢失。</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录像存储过程中加入特殊字段，防止录像被篡改或伪造，以保证录像的原始性及完整性。可对录像的某个时间点添加标签，并可进行查询、回放、下载可接入MPEG4、H.264、H.265、Smart265、SVAC编码格式和分辨率为4096×2160的前端设备并存储录像文件。</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7.可将接入样机的网络设备的IP地址、端口号等信息以excel形式进行导入导出。</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8.应能预录报警触发前1-40min的视频录像。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9.当接入的视频图像的警戒区域内探测到移动目标时，可给出报警提示信息并进行录像。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★10.支持对存储硬盘进行SMART检测。</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CAD72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7F82B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FF54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33E26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FF63B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监控硬盘</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28E8635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≥8000G 5寸 监控专用。</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≥7200转速，≥256M缓存。</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8F4E7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7C1B0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块</w:t>
            </w:r>
          </w:p>
        </w:tc>
      </w:tr>
      <w:tr w14:paraId="6422C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4A9EA7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77762C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核心交换机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7EF898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配套业务板卡，带24个千兆光口和2个万兆光口。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E6939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CB61ED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5F799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C5845D">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5ACE54">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6A2BEC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配套业务板卡，带24个千兆电口和2个万兆光口。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45BD19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AEAB8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5619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AC5B66">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3C9827">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3C1AED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1.★交换容量≥758Gbps，包转发率≥252Mpps，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2.★整机独立业务板卡插槽≥2个。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3.系统电源槽位≥2个，在满配电源时支持1+1电源冗余。</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4.符合业界主流机柜的尺寸规范要求，设备高度≤1U，设备深度≤600mm。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5.支持可将≥2台物理设备虚拟化为1台逻辑设备，并可实现跨设备链路聚合。</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6.支持STP、 RSTP、 MSTP、端口聚合功能。 </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7.支持防环路检测，自动解决环路问题。</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8.支持静态路由、RIPng、OSPFv2、OSPFv3。</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9.设备防雷等级≥6kV。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10.支持对交换机、无线AP进行统一管理，管理的交换机、无线AP设备数量≥300台 。</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80912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D2D82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8B45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8B68F2">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479DB0">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BA1D7F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配套电源（交流，150W）</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66FCA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B17C5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51475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2E9F4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E1F844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楼层汇聚交换机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5E4BB2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1.★实配固化千兆电接口数≥24个，千兆SFP光口≥4个，最大可用端口≥28个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2.内存256MB，交换容量≥336Gbps，包转发率≥78Mpps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3.交换缓存≥4.1Mbit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4.荐整机待机终端≥300个或带≥200W像素IPC150个。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5.支持生成树 STP / RSTP； 提高容错能力，保证网络的稳定运行和链路的负载均衡，合理使用网络通道，提供冗余链路利用率。</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6.支持防环路检测，自动解决环路问题。</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7.支持静态链路聚合。</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8.支持端口镜像，多对一镜像。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9.支持VLAN划分，最大支持4094个VLAN</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10.支持防雷等级≥6KV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11.支持QoS(支持端口输出和输入流量限速)</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12.支持标准的ACL、支持基于IP/MAC扩展的ACL</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13.支持CPU安全保护策略(硬件CPP)</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14.支持交换机0配置上线,支持自组网。</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B562C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93D37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39928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812C7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197DB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光模块</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046543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千兆单模光模块,最大传输距离10KM,双纤口,适用LC型接头跳线</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633CC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EFE7C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个</w:t>
            </w:r>
          </w:p>
        </w:tc>
      </w:tr>
      <w:tr w14:paraId="41F6B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8462E5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D1BB4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42U服务器机柜</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986FA0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1.符合国标和实际使用的42U机柜，≥19英寸。</w:t>
            </w:r>
          </w:p>
          <w:p w14:paraId="147BFB1C">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2.机柜尺寸(约)：高2000mm*宽600mm*深800mm；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3.内容量：≥42U,≥19英寸。</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4.主要材质：优质冷扎钢板，方孔条与安装梁是耐指纹镀铝锌板材，厚度：承重方孔条≥1.8mm；侧板≥1.0mm;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5.配置(不低于)：电源排插1套10A8位，风扇4只 ，地脚4只，重载脚轮4只 ，方螺母螺钉≥40套，前门玻璃门，后门铁网门（前后门的玻璃门、钢板门、网孔门可更换），支持快速装卸框架结构；</w:t>
            </w:r>
          </w:p>
          <w:p w14:paraId="4BDA764F">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6.支持关闭的上部和下部走线通道；支持落地安装时可以选配支脚或脚轮。</w:t>
            </w:r>
          </w:p>
          <w:p w14:paraId="4C38570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7.防护等级：IP20。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876194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7A5820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42F99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CD9C1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082FC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电梯网络摄像机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CF27CD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1.设备内置GPU芯片、≥1个麦克风、≥1个扬声器，≥1颗红外补光灯，≥1颗白光闪光灯，≥1颗ToF传感器、≥1个温湿度和楼层传感器，≥1个报警输入接口，≥1个报警输出接口，≥1个SD卡卡槽。</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2.设备在额定电源电压DC12V±25%范围内正常工作，且支持POE供电。</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3.设备码流满足：主码流1920x1080、30fps，子码流704x576、25fps。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4.支持H.265、H.264、MJPEG视频编码格式。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5.设备水平视场角≥120°，垂直视场角≥75°。</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6.支持视频遮挡检测功能，内置ToF传感器，可通过IE浏览器配置遮挡报警距离、时长及布防时间 ，支持在布防时间内检测到有物体距离摄像机距离低于设定阈值且达到设置遮挡时长时，支持在客户端给出报警提示并可联动声音报警、上传中心、录像、发送邮件及触发报警输出。</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7.支持声光报警功能，当报警输入报警产生时，可在报警布防时间内联动声音报警或白光灯闪烁。</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8.支持人数统计功能，支持多边形（最多允许10条边）人数检测区域，并可实时统计区域中的人员数量及位置，支持预览画面上实现显示统计的人数，支持将检测结果定时上传。</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★9.支持电瓶车入梯报警。</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10.支持楼层显示功能，支持电梯运行状态检测，包括电梯所在楼层检测、上下行状态检测、电梯运行速度检测，可将检测结果实时叠加在预览画面上，并支持将检测结果实时上传服务器。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A0DB1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D10E02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928D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4C5A442">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86313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电梯网桥</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DF380F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1.无线速率≥300Mbps。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2.支持≥1个10/100Mbps自协商以太网口。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3.推荐桥接距离≤300 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4.整机功率≤5W。</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5.支持12V DC和12V非标PoE供电。</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6.支持端口防雷4kV（共模）。</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7.支持工作温度-10℃~45℃。</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8.支持APP、Eweb管理。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9.支持频谱分析，进行链路最佳信道推荐，估算链路流量，提供可携带的最多摄像头数量。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10.支持对准工具，提供链路实时信号，最佳信号，快速调节网桥最佳角度。</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11.支持组播、广播风暴抑制，削弱监控之间的广播报文的干扰，提高监控画面的稳定性。</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12.默认出厂配对，支持一键配对，快速设置网桥(录像机端/摄像头端)模式，进行录像机端和摄像头端的组网桥接。</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13.支持高带宽/普通/抗干扰模式切换，适配不同干扰环境。</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B1BD0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E4AE8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对</w:t>
            </w:r>
          </w:p>
        </w:tc>
      </w:tr>
      <w:tr w14:paraId="7BB4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AA30392">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A4CAF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网络高清枪式摄像机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2A43BA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1.支持输出图像分辨率≥2560×1440。</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★2.靶面尺寸≤1/2.8英寸。</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3.信噪比≥55dB。</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4.支持红外补光、白光补光，有效补光距离≥30m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5.摄像机应能在额定电源电压 DC12V的±25%范围内正常工作。</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6.内置≥1个麦克风，≥1个RJ45网络接口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7.需支持IP66防尘防水。</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B415F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5C69D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30B0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89E1746">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9BFA6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摄像机支架</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5C84EF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 防尘防水，适合室内外壁装。</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 兼容设计，支持壁装、抱杆和吊顶安装。</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 承重≥1.0KG。</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38259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F12D6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个</w:t>
            </w:r>
          </w:p>
        </w:tc>
      </w:tr>
      <w:tr w14:paraId="18DD6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61F2916">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84E91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接入交换机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073EF5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1.实配固化千兆电接口数≥6个，千兆SFP光口≥1个，最大可用端口≥7个。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2.交换容量≥96Gbps，包转发率≥10.5Mpps，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3.支持PoE/PoE+，整机最大PoE供电功率≥54W，单端口最大PoE供电功率≥30W。</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4.支持端口防雷等级≥6kV，电源防雷等级≥6kV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5.支持自动防IP冲突、自动防环路、自动防私接。</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6.支持端口镜像，多对一镜像，一对一镜像。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7.支持DHCP Snooping，避免了上网终端从非法DHCP服务器分配的IP地址，引起的网络异常或安全隐患。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8.支持VLAN划分，提升网络的安全性、灵活性和管理效率。</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5D4159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9A662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51249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064F282">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3DD38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光纤收发器</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710463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≥1个10/100/1000Mbps自适应RJ45电口，≥1个1000Mbps SC光口，最大传输距离3kM，非网管型光纤收发器，支持可配合收发器机架使用。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258FC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A5CFA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对</w:t>
            </w:r>
          </w:p>
        </w:tc>
      </w:tr>
      <w:tr w14:paraId="4D1AA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10D6FEE">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09682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监控网线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274580B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符合国标和实际使用的六类非屏蔽国标无氧铜</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22E2D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11320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24576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06CEC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69A5F78">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FB22D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监控电源线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BC4D83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符合国标和实际使用的RVV2*1.0国标无氧铜</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BD3E9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7000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B6418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12E66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FA6A0CF">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197A0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室外立杆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E7CAB0B">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1.4m组合立杆，2m加2m。</w:t>
            </w:r>
          </w:p>
          <w:p w14:paraId="5CFA2147">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2.规格:≥114mm变76mm，厚度:2.0mm±0.1，底部法兰对角205厚度8mm±0.1。</w:t>
            </w:r>
          </w:p>
          <w:p w14:paraId="66398B7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整体经静电喷塑烤漆处理，含枪机横臂，避雷针。</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2045A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6E40C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r>
      <w:tr w14:paraId="12311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16D474">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E149B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室外防水箱</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2D9BBB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规格:≥400*300*180mm，不锈钢201材质，带一块背板。</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502AC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744B1A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个</w:t>
            </w:r>
          </w:p>
        </w:tc>
      </w:tr>
      <w:tr w14:paraId="5A374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87423CF">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0957A54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立杆部分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A4B95B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符合国标和实际使用的立杆基础开挖、回填、混凝土浇筑、防雷接地等施工及恢复</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7494F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E17AD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r>
      <w:tr w14:paraId="72DB9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4FDE6C0">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6ADD35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线缆部分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636420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符合国标和实际使用的水泥地面切割恢复、光纤、网线、电源线套管桥架布置、校园绿化区域开挖恢复等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31F73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0BC9B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42062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A13C940">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8D856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摄像机部分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88E698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摄像机立杆+壁装+吊装+技术服务</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684E5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138</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F2526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12CB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9B113D6">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A8812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机房部分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8D4C50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符合国标和实际使用的机房机柜安装、理线、线标注释、接电、监控系统新旧对接调试等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EF6329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A9F0F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批</w:t>
            </w:r>
          </w:p>
        </w:tc>
      </w:tr>
      <w:tr w14:paraId="3713B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185F424">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34284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监控线路分离和组网</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3B30E8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符合国标和实际使用的包含将原先的网络进行分离和整理并与所有的监控网络集成</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4C3C9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32C30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批</w:t>
            </w:r>
          </w:p>
        </w:tc>
      </w:tr>
      <w:tr w14:paraId="0E2E2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B1EF8A">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9839D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辅材</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26866AD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符合国标和实际使用的水晶头、线管、跳线、地笼、沙石等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1A717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489D7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批</w:t>
            </w:r>
          </w:p>
        </w:tc>
      </w:tr>
      <w:tr w14:paraId="0DDF3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7DCAD00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说明：1.需求清单中带“★”号的参数应以技术参数中要求的形式提供相应的证明材料，技术参数中要求无形式要求的可以提供不限于原厂印刷的产品说明书、制造商官方网站截图、质量证书、第三方机构检验报告、功能截图等</w:t>
            </w:r>
            <w:r>
              <w:rPr>
                <w:rFonts w:hint="eastAsia" w:ascii="宋体" w:hAnsi="宋体" w:eastAsia="宋体" w:cs="宋体"/>
                <w:b/>
                <w:bCs/>
                <w:color w:val="000000" w:themeColor="text1"/>
                <w:sz w:val="22"/>
                <w:szCs w:val="22"/>
                <w:highlight w:val="none"/>
                <w14:textFill>
                  <w14:solidFill>
                    <w14:schemeClr w14:val="tx1"/>
                  </w14:solidFill>
                </w14:textFill>
              </w:rPr>
              <w:t>任意形式</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证明材料。任意一条带“★”号的参数</w:t>
            </w:r>
            <w:r>
              <w:rPr>
                <w:rFonts w:hint="eastAsia" w:ascii="宋体" w:hAnsi="宋体" w:eastAsia="宋体" w:cs="宋体"/>
                <w:b/>
                <w:bCs/>
                <w:color w:val="000000" w:themeColor="text1"/>
                <w:sz w:val="22"/>
                <w:szCs w:val="22"/>
                <w:highlight w:val="none"/>
                <w14:textFill>
                  <w14:solidFill>
                    <w14:schemeClr w14:val="tx1"/>
                  </w14:solidFill>
                </w14:textFill>
              </w:rPr>
              <w:t>若未响应或者不满足</w:t>
            </w:r>
            <w:r>
              <w:rPr>
                <w:rFonts w:hint="eastAsia" w:ascii="宋体" w:hAnsi="宋体" w:eastAsia="宋体" w:cs="宋体"/>
                <w:b/>
                <w:bCs/>
                <w:color w:val="000000" w:themeColor="text1"/>
                <w:sz w:val="22"/>
                <w:szCs w:val="22"/>
                <w:highlight w:val="none"/>
                <w:lang w:eastAsia="zh-CN"/>
                <w14:textFill>
                  <w14:solidFill>
                    <w14:schemeClr w14:val="tx1"/>
                  </w14:solidFill>
                </w14:textFill>
              </w:rPr>
              <w:t>，</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将按无效响应处理。</w:t>
            </w:r>
          </w:p>
          <w:p w14:paraId="754CDE07">
            <w:pPr>
              <w:keepNext w:val="0"/>
              <w:keepLines w:val="0"/>
              <w:widowControl/>
              <w:suppressLineNumbers w:val="0"/>
              <w:jc w:val="both"/>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2.需求清单中的</w:t>
            </w:r>
            <w:r>
              <w:rPr>
                <w:rFonts w:hint="eastAsia" w:ascii="宋体" w:hAnsi="宋体" w:eastAsia="宋体" w:cs="宋体"/>
                <w:b/>
                <w:bCs/>
                <w:color w:val="000000" w:themeColor="text1"/>
                <w:sz w:val="22"/>
                <w:szCs w:val="22"/>
                <w:highlight w:val="none"/>
                <w:lang w:val="en-CA"/>
                <w14:textFill>
                  <w14:solidFill>
                    <w14:schemeClr w14:val="tx1"/>
                  </w14:solidFill>
                </w14:textFill>
              </w:rPr>
              <w:t>“支持..；具备..；配备..”等描述，为已具备的功能要求，且后期使用费用包含在投标报价中</w:t>
            </w:r>
            <w:r>
              <w:rPr>
                <w:rFonts w:hint="eastAsia" w:ascii="宋体" w:hAnsi="宋体" w:eastAsia="宋体" w:cs="宋体"/>
                <w:b/>
                <w:bCs/>
                <w:color w:val="000000" w:themeColor="text1"/>
                <w:sz w:val="22"/>
                <w:szCs w:val="22"/>
                <w:highlight w:val="none"/>
                <w:lang w:val="en-CA" w:eastAsia="zh-CN"/>
                <w14:textFill>
                  <w14:solidFill>
                    <w14:schemeClr w14:val="tx1"/>
                  </w14:solidFill>
                </w14:textFill>
              </w:rPr>
              <w:t>；</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成交后，成交供应商不允许以任何形式就以上</w:t>
            </w:r>
            <w:r>
              <w:rPr>
                <w:rFonts w:hint="eastAsia" w:ascii="宋体" w:hAnsi="宋体" w:eastAsia="宋体" w:cs="宋体"/>
                <w:b/>
                <w:bCs/>
                <w:color w:val="000000" w:themeColor="text1"/>
                <w:sz w:val="22"/>
                <w:szCs w:val="22"/>
                <w:highlight w:val="none"/>
                <w:lang w:val="en-CA"/>
                <w14:textFill>
                  <w14:solidFill>
                    <w14:schemeClr w14:val="tx1"/>
                  </w14:solidFill>
                </w14:textFill>
              </w:rPr>
              <w:t>已具备的功能</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向采购人收取费用，一律按虚假应标处理，由成交供应商承担因此产生的一切后果和责任。 </w:t>
            </w:r>
          </w:p>
        </w:tc>
      </w:tr>
    </w:tbl>
    <w:p w14:paraId="4E68057F"/>
    <w:p w14:paraId="5AEF49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i w:val="0"/>
          <w:iCs w:val="0"/>
          <w:caps w:val="0"/>
          <w:color w:val="0A82E5"/>
          <w:spacing w:val="0"/>
          <w:sz w:val="18"/>
          <w:szCs w:val="18"/>
          <w:bdr w:val="none" w:color="auto" w:sz="0" w:space="0"/>
          <w:shd w:val="clear" w:fill="FFFFFF"/>
        </w:rPr>
      </w:pPr>
      <w:bookmarkStart w:id="0" w:name="_GoBack"/>
      <w:bookmarkEnd w:id="0"/>
    </w:p>
    <w:p w14:paraId="6DCDA4E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C76CA1"/>
    <w:rsid w:val="05C43A86"/>
    <w:rsid w:val="2FC76C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null3"/>
    <w:hidden/>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2026-06-11T11:22:00Z</dcterms:created>
  <dc:creator>杜航</dc:creator>
  <cp:lastModifiedBy>杜航</cp:lastModifiedBy>
  <dcterms:modified xsi:type="dcterms:W3CDTF">2026-06-11T11:36:51Z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AB680E04F1DC4127924A0F43947201FE_11</vt:lpwstr>
  </property>
  <property fmtid="{D5CDD505-2E9C-101B-9397-08002B2CF9AE}" pid="4" name="KSOTemplateDocerSaveRecord">
    <vt:lpwstr>eyJoZGlkIjoiNGVjNGI1ZWQxMDUyODY5ZDAxOTAyNjljNjE1NWUwNGQiLCJ1c2VySWQiOiIzMDgwODY2MDYifQ==</vt:lpwstr>
  </property>
</Properties>
</file>