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版本号：0617-2612FZ108520260508001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2026年度全省政府网站与政务新媒体第三方检查监测工作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0617-2612FZ1085</w:t>
      </w:r>
      <w:r>
        <w:br/>
      </w:r>
      <w:r>
        <w:br/>
      </w:r>
      <w:r>
        <w:br/>
      </w:r>
    </w:p>
    <w:p>
      <w:pPr>
        <w:pStyle w:val="null3"/>
        <w:jc w:val="center"/>
        <w:outlineLvl w:val="2"/>
      </w:pPr>
      <w:r>
        <w:rPr>
          <w:rFonts w:ascii="仿宋_GB2312" w:hAnsi="仿宋_GB2312" w:cs="仿宋_GB2312" w:eastAsia="仿宋_GB2312"/>
          <w:sz w:val="28"/>
          <w:b/>
        </w:rPr>
        <w:t>省政府办公厅机关</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省政府办公厅机关</w:t>
      </w:r>
      <w:r>
        <w:rPr>
          <w:rFonts w:ascii="仿宋_GB2312" w:hAnsi="仿宋_GB2312" w:cs="仿宋_GB2312" w:eastAsia="仿宋_GB2312"/>
        </w:rPr>
        <w:t>委托，拟对</w:t>
      </w:r>
      <w:r>
        <w:rPr>
          <w:rFonts w:ascii="仿宋_GB2312" w:hAnsi="仿宋_GB2312" w:cs="仿宋_GB2312" w:eastAsia="仿宋_GB2312"/>
        </w:rPr>
        <w:t>2026年度全省政府网站与政务新媒体第三方检查监测工作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0617-2612FZ1085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2026年度全省政府网站与政务新媒体第三方检查监测工作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2026年度全省政府网站与政务新媒体第三方检查监测工作，1项。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省政府办公厅机关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吴乐平、唐丽娜、衣冯源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029-85222242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省政府办公厅机关</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省政府办公厅机关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省政府办公厅机关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验收组织方式：自行验收； 技术履约验收内容：服务质量、服务进度、人员设备配备情况、安全标准； 商务履约验收内容：服务承诺实现、合同履约时间、地点及方式； 履约验收标准：磋商文件、响应文件、合同及国家相关标准。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2026年度全省政府网站与政务新媒体第三方检查监测工作，1项。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检查监测服务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标的名称：检查监测服务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检测依据。按照国务院办公厅秘书局印发的《政府网站与政务新媒体检查指标》（国办秘函〔2019〕19号）文件要求，通过政府购买服务方式，委托第三方对陕西省各级政府网站与政务新媒体开展检测服务，及时发现问题，督促问题整改，确保全省政府网站与政务新媒体健康规范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二、检测对象。从全省各级政府网站与政务新媒体（含各级政府及其部门主管主办的网站与政务新媒体）中选取，具体对象信息以全国政府网站信息报送系统与全国政务新媒体信息报送系统报备运行的数据为准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三、检测内容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（一）检测内容</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根据《关于印发政府网站与政务新媒体检查指标、监管工作年度考核指标的通知》（国办秘函〔2019〕19号）要求，对《指标》中的单项否决、扣分指标和加分指标3部分进行检测，必要时可按需增加检测内容，评估指标详见附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2.对全省政府网站存在的SQL注入、XSS、网站应用组件、网站信息泄露等安全漏洞问题进行检测。</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3.完成政府网站及政务新媒体检测相关支撑工作，包括国家关于政府网站及政务新媒体建设管理相关要求落实情况检测。</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4.完成甲方交付的其他工作。</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（二）检测频率</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1.对省、市级政府（含杨凌示范区、韩城市）门户网站和省级部门及其主办主管的政府网站进行4次检测。</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2.从每个设区市（含杨凌示范区、韩城市）各随机抽取20家政府网站进行4次检测。</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3.对省、市级政府（含杨凌示范区、韩城市）和省级部门及其主办主管的政务新媒体进行4次检测。</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4.对县（市区）级政府及其部门的政务新媒体进行4次抽查检测。</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1.满足国家政府网站与政务新媒体检测以及常态化监管工作相关要求，包括需外派2名技术人员常驻采购人指定地点办公，所派人员学历为本科及以上，须具备同类工作经验。</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2.满足保密要求，未经授权，检测结果和数据不对外提供。</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（四）服务效果</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1.按照工作要求，按照服务频次及时交付检测报告若干份（为每个检测对象均提供一份独立个性化分析报告）。根据检测单位整改情况，及时出具复检报告。</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2.按需提供问题解决方案。如在重大节日和重要活动期间，开展专项检测。对有必要进行独检的网站，提供即时检测服务。</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四、商务要求</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1.服务期限：2026年度（截止至2026年12月31日）</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付款方式：（1）合同签订后，甲方履行完毕内部审批后，向乙方支付60%款项；服务结束验收合格后支付40%款项。（2）甲方付款前，乙方应向甲方开具符合甲方要求的等额正式增值税普通发票。因乙方迟延提供发票或提供发票不符合甲方要求，导致甲方逾期付款的，由乙方自行承担责任，甲方不承担逾期付款的违约责任。（3）甲方通过银行转账的方式向乙方支付合同价款。</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验收：（1）甲方在收到乙方提交的检查、检测成果后应组织验收，验收合格的出具书面的验收合格通知书；验收不合格的，甲方有权要求乙方在指定期限内进行修改、补充、重做，乙方应当在指定期限内按时修改、补充、重做并再次提交甲方验收，直至甲方验收合格，且服务期限不顺延。（2）乙方交付的检测报告连续两次未通过甲方验收，甲方有权单方解除合同并不支付任何费用，已支付的费用乙方应当予以退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满足国家政府网站与政务新媒体检测以及常态化监管工作相关要求，包括需外派2名技术人员常驻采购人指定地点办公，所派人员学历为本科及以上，须具备同类工作经验。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2026年度（截止至2026年12月31日）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履行完毕内部审批后（甲方付款前，乙方应向甲方开具符合甲方要求的等额正式增值税普通发票。因乙方迟延提供发票或提供发票不符合甲方要求，导致甲方逾期付款的，由乙方自行承担责任，甲方不承担逾期付款的违约责任。甲方通过银行转账的方式向乙方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验收合格后（甲方付款前，乙方应向甲方开具符合甲方要求的等额正式增值税普通发票。因乙方迟延提供发票或提供发票不符合甲方要求，导致甲方逾期付款的，由乙方自行承担责任，甲方不承担逾期付款的违约责任。甲方通过银行转账的方式向乙方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违约责任见合同文本。解决争议的方法：凡因本合同引起的或与本合同相关的任何争议，由双方友好协商解决。协商不成时，双方均有权向甲方所在地有管辖权的人民法院提起诉讼解决。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（2）具有独立承担民事责任的能力。提供注册登记凭证（营业执照、其他组织经营的合法凭证，自然人的提供身份证明文件）。供应商需在项目电子化交易系统中按要求上传相应证明文件并进行电子签章。 （3）具有良好的商业信誉和健全的财务会计制度。提供经审计具有注册会计师行业统一监管平台出具赋码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 ；以上四种形式的资料提供任何一种即可。供应商需在项目电子化交易系统中按要求上传相应证明文件并进行电子签章。 （4）具有履行合同所必需的设备和专业技术能力。提供声明文件。供应商需在项目电子化交易系统中按要求上传相应证明文件并进行电子签章。 （5）具有依法缴纳税收的良好记录。提供缴费所属日期为投标截止时间前6个月内任一月份（投标截止时间当月不计入）的缴费凭据或税务机关出具的完税证明或（在法规范围内不需提供的应出具书面说明和证明文件）；/或具有依法缴纳税收的诚信声明；以上二种形式的资料提供任何一种即可。供应商需在项目电子化交易系统中按要求上传相应证明文件并进行电子签章。 （6）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供应商需在项目电子化交易系统中按要求上传相应证明文件并进行电子签章。 （7）参加政府采购活动前3年内在经营活动中没有重大违法记录的书面声明。供应商需在项目电子化交易系统中按要求上传相应证明文件并进行电子签章。 （8）法定代表人身份证明文件及法人代表授权书。法定代表人直接投标的仅提供身份证明文件。授权代表投标须同时提供法定代表人身份证明文件及法人代表授权书。供应商需在项目电子化交易系统中按要求上传相应证明文件并进行电子签章。 （9）不接受联合体。提供非联合体投标声明函，供应商需在项目电子化交易系统中按要求上传相应证明文件并进行电子签章。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一、异常低价投标（响应）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当要求相关供应商在评审现场60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w:t>
            </w:r>
          </w:p>
        </w:tc>
        <w:tc>
          <w:tcPr>
            <w:tcW w:type="dxa" w:w="1661"/>
          </w:tcPr>
          <w:p>
            <w:pPr>
              <w:pStyle w:val="null3"/>
            </w:pPr>
            <w:r>
              <w:rPr>
                <w:rFonts w:ascii="仿宋_GB2312" w:hAnsi="仿宋_GB2312" w:cs="仿宋_GB2312" w:eastAsia="仿宋_GB2312"/>
              </w:rPr>
              <w:t>响应文件封面 标的清单 磋商报价方案说明书 响应函 技术和商务条款响应表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1.磋商响应文件的签署、加盖印章是否有效；2.提供的各种证明文件、数据、资料是否有效。</w:t>
            </w:r>
          </w:p>
        </w:tc>
        <w:tc>
          <w:tcPr>
            <w:tcW w:type="dxa" w:w="1661"/>
          </w:tcPr>
          <w:p>
            <w:pPr>
              <w:pStyle w:val="null3"/>
            </w:pPr>
            <w:r>
              <w:rPr>
                <w:rFonts w:ascii="仿宋_GB2312" w:hAnsi="仿宋_GB2312" w:cs="仿宋_GB2312" w:eastAsia="仿宋_GB2312"/>
              </w:rPr>
              <w:t>响应文件封面 标的清单 磋商报价方案说明书 响应函 技术和商务条款响应表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1.磋商报价是否超过采购预算、最高限价；2.磋商报价有效期是否符合磋商文件的要求；3.响应文件内容是否符合国家法律法规；4.是否响应实质性条款。</w:t>
            </w:r>
          </w:p>
        </w:tc>
        <w:tc>
          <w:tcPr>
            <w:tcW w:type="dxa" w:w="1661"/>
          </w:tcPr>
          <w:p>
            <w:pPr>
              <w:pStyle w:val="null3"/>
            </w:pPr>
            <w:r>
              <w:rPr>
                <w:rFonts w:ascii="仿宋_GB2312" w:hAnsi="仿宋_GB2312" w:cs="仿宋_GB2312" w:eastAsia="仿宋_GB2312"/>
              </w:rPr>
              <w:t>响应文件封面 标的清单 磋商报价方案说明书 响应函 技术和商务条款响应表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技术需求全部满足磋商文件，得10分，每不满足一项扣1分，扣完为止。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技术和商务条款响应表</w:t>
            </w:r>
          </w:p>
        </w:tc>
      </w:tr>
      <w:tr>
        <w:tc>
          <w:tcPr>
            <w:tcW w:type="dxa" w:w="831"/>
            <w:vMerge/>
          </w:tcPr>
          <w:p/>
        </w:tc>
        <w:tc>
          <w:tcPr>
            <w:tcW w:type="dxa" w:w="1661"/>
          </w:tcPr>
          <w:p>
            <w:pPr>
              <w:pStyle w:val="null3"/>
            </w:pPr>
            <w:r>
              <w:rPr>
                <w:rFonts w:ascii="仿宋_GB2312" w:hAnsi="仿宋_GB2312" w:cs="仿宋_GB2312" w:eastAsia="仿宋_GB2312"/>
              </w:rPr>
              <w:t>服务方案1（项目理解）</w:t>
            </w:r>
          </w:p>
        </w:tc>
        <w:tc>
          <w:tcPr>
            <w:tcW w:type="dxa" w:w="2492"/>
          </w:tcPr>
          <w:p>
            <w:pPr>
              <w:pStyle w:val="null3"/>
            </w:pPr>
            <w:r>
              <w:rPr>
                <w:rFonts w:ascii="仿宋_GB2312" w:hAnsi="仿宋_GB2312" w:cs="仿宋_GB2312" w:eastAsia="仿宋_GB2312"/>
              </w:rPr>
              <w:t>供应商对项目理解到位、提供的整体服务方案内容全面、框架清晰的得5分；理解较为到位、整体服务方案内容较为全面、框架较为清晰的得3分；理解不到位、整体服务方案内容有缺失或不足、框架不清晰的得1分，无响应说明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服务方案2（组织管理）</w:t>
            </w:r>
          </w:p>
        </w:tc>
        <w:tc>
          <w:tcPr>
            <w:tcW w:type="dxa" w:w="2492"/>
          </w:tcPr>
          <w:p>
            <w:pPr>
              <w:pStyle w:val="null3"/>
            </w:pPr>
            <w:r>
              <w:rPr>
                <w:rFonts w:ascii="仿宋_GB2312" w:hAnsi="仿宋_GB2312" w:cs="仿宋_GB2312" w:eastAsia="仿宋_GB2312"/>
              </w:rPr>
              <w:t>供应商组织管理架构完善，管理制度体系健全规范，满足采购需求的得5分；组织管理架构和工作机制基本满足采购需求，制度有待健全的得3分；组织管理架构和工作机制差的得1分；无响应说明的得0分。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服务方案3（检测方法）</w:t>
            </w:r>
          </w:p>
        </w:tc>
        <w:tc>
          <w:tcPr>
            <w:tcW w:type="dxa" w:w="2492"/>
          </w:tcPr>
          <w:p>
            <w:pPr>
              <w:pStyle w:val="null3"/>
            </w:pPr>
            <w:r>
              <w:rPr>
                <w:rFonts w:ascii="仿宋_GB2312" w:hAnsi="仿宋_GB2312" w:cs="仿宋_GB2312" w:eastAsia="仿宋_GB2312"/>
              </w:rPr>
              <w:t>供应商检测方法科学、合理，满足采购需求的得5分；方法基本合理，有不足或有待完善的得3分；方法不合理、缺乏可行性，或无响应说明的得0分。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服务方案4（检测工具）</w:t>
            </w:r>
          </w:p>
        </w:tc>
        <w:tc>
          <w:tcPr>
            <w:tcW w:type="dxa" w:w="2492"/>
          </w:tcPr>
          <w:p>
            <w:pPr>
              <w:pStyle w:val="null3"/>
            </w:pPr>
            <w:r>
              <w:rPr>
                <w:rFonts w:ascii="仿宋_GB2312" w:hAnsi="仿宋_GB2312" w:cs="仿宋_GB2312" w:eastAsia="仿宋_GB2312"/>
              </w:rPr>
              <w:t>供应商具有项目实施所需的专业检测工具，具备安全检测能力和设备，安全检测工作满足采购需求，提供安全检测设备采购合同、发票、检测结果等证明文件的得5分，安全检测能力不足或缺陷的，得3分，无响应或未提供安全检测工具、设备采购合同、发票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服务方案5（质量控制）</w:t>
            </w:r>
          </w:p>
        </w:tc>
        <w:tc>
          <w:tcPr>
            <w:tcW w:type="dxa" w:w="2492"/>
          </w:tcPr>
          <w:p>
            <w:pPr>
              <w:pStyle w:val="null3"/>
            </w:pPr>
            <w:r>
              <w:rPr>
                <w:rFonts w:ascii="仿宋_GB2312" w:hAnsi="仿宋_GB2312" w:cs="仿宋_GB2312" w:eastAsia="仿宋_GB2312"/>
              </w:rPr>
              <w:t>供应商提供与本项目相关的服务质量控制内容， 服务质量控制措施科学合理、针对性强，能够全面满足本项目采购需求的，得5分；质量控制措施基本符合本项目采购需求，整体可行但存在优化空间、需进一步完善的，得3分；服务质量控制措施不完善、针对性不足，难以有效保障服务质量的，得1分；无响应说明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服务方案6（风险管理）</w:t>
            </w:r>
          </w:p>
        </w:tc>
        <w:tc>
          <w:tcPr>
            <w:tcW w:type="dxa" w:w="2492"/>
          </w:tcPr>
          <w:p>
            <w:pPr>
              <w:pStyle w:val="null3"/>
            </w:pPr>
            <w:r>
              <w:rPr>
                <w:rFonts w:ascii="仿宋_GB2312" w:hAnsi="仿宋_GB2312" w:cs="仿宋_GB2312" w:eastAsia="仿宋_GB2312"/>
              </w:rPr>
              <w:t>供应商提供本项目服务风险管理相关内容，风险管理措施得当、针对性强，能够预防本项目服务全流程各类潜在风险，全面满足本项目采购需求，得5分；风险管理措施基本可行，能够预防项目主要服务风险，但存在一些漏洞，需优化完善，得3分；风险管理措施无法预防本项目服务风险或无响应说明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服务方案7（实施保障）</w:t>
            </w:r>
          </w:p>
        </w:tc>
        <w:tc>
          <w:tcPr>
            <w:tcW w:type="dxa" w:w="2492"/>
          </w:tcPr>
          <w:p>
            <w:pPr>
              <w:pStyle w:val="null3"/>
            </w:pPr>
            <w:r>
              <w:rPr>
                <w:rFonts w:ascii="仿宋_GB2312" w:hAnsi="仿宋_GB2312" w:cs="仿宋_GB2312" w:eastAsia="仿宋_GB2312"/>
              </w:rPr>
              <w:t>供应商项目实施保障工作有序、到位，满足采购需求，措施完善的得5分；实施保障工作基本满足采购需求，有待加强的得3分；实施保障工作有不足或缺陷的，得1分；无响应说明的得0分。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项目人员配置齐全，具备本科及以上（含本科）学历且具有政府网站与政务新媒体检测工作经验1年及以上，同时具有个人信息保护合规审计人员能力评价证书，每名得1分，最高得10分。注：所有参与人员须在供应商单位任职，需提供为本项目所有服务人员缴纳的近6个月的社保证明及资质证明文件，以上证件提供扫描件并加盖公章，否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项目人员具备人力资源和社会保障部门认可的高级工程师（含）以上职称资格证书的，每名得1分，最高得5分。 注：所有参与人员须在供应商单位任职，需提供为本项目所有服务人员缴纳的近6个月的社保证明及资质证明文件，以上证件提供扫描件并加盖公章，否则不予认可。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服务承诺1（驻点人员）</w:t>
            </w:r>
          </w:p>
        </w:tc>
        <w:tc>
          <w:tcPr>
            <w:tcW w:type="dxa" w:w="2492"/>
          </w:tcPr>
          <w:p>
            <w:pPr>
              <w:pStyle w:val="null3"/>
            </w:pPr>
            <w:r>
              <w:rPr>
                <w:rFonts w:ascii="仿宋_GB2312" w:hAnsi="仿宋_GB2312" w:cs="仿宋_GB2312" w:eastAsia="仿宋_GB2312"/>
              </w:rPr>
              <w:t>供应商按照采购人安排完成本项目服务时，除拟派服务团队外，须另外至少派驻2名项目组人员长期驻点服务，所派驻长期驻点服务人员学历为本科及以上，具有同类项目工作经验，满足计5分；未提供或不满足不计分。（须提供可体现派驻人员同类项目工作经验证明材料及学历证明材料）。 注：人员应附劳动合同和供应商为其缴纳的近6个月的社保证明材料，否则不予认可。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服务承诺2（应急响应）</w:t>
            </w:r>
          </w:p>
        </w:tc>
        <w:tc>
          <w:tcPr>
            <w:tcW w:type="dxa" w:w="2492"/>
          </w:tcPr>
          <w:p>
            <w:pPr>
              <w:pStyle w:val="null3"/>
            </w:pPr>
            <w:r>
              <w:rPr>
                <w:rFonts w:ascii="仿宋_GB2312" w:hAnsi="仿宋_GB2312" w:cs="仿宋_GB2312" w:eastAsia="仿宋_GB2312"/>
              </w:rPr>
              <w:t>本项目服务期间，对于突发应急事件，供应商能够在2小时内到达指定地点提供现场支撑服务，提供支撑材料计2分；未提供不计分。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服务承诺3（服务支撑）</w:t>
            </w:r>
          </w:p>
        </w:tc>
        <w:tc>
          <w:tcPr>
            <w:tcW w:type="dxa" w:w="2492"/>
          </w:tcPr>
          <w:p>
            <w:pPr>
              <w:pStyle w:val="null3"/>
            </w:pPr>
            <w:r>
              <w:rPr>
                <w:rFonts w:ascii="仿宋_GB2312" w:hAnsi="仿宋_GB2312" w:cs="仿宋_GB2312" w:eastAsia="仿宋_GB2312"/>
              </w:rPr>
              <w:t>本项目服务期间，对于采购方未尽的、未预测到的与本项目相关工作提供服务支撑，满足实际需求的得3分，有欠缺得1分；未提供不计分。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供应商履约能力1</w:t>
            </w:r>
          </w:p>
        </w:tc>
        <w:tc>
          <w:tcPr>
            <w:tcW w:type="dxa" w:w="2492"/>
          </w:tcPr>
          <w:p>
            <w:pPr>
              <w:pStyle w:val="null3"/>
            </w:pPr>
            <w:r>
              <w:rPr>
                <w:rFonts w:ascii="仿宋_GB2312" w:hAnsi="仿宋_GB2312" w:cs="仿宋_GB2312" w:eastAsia="仿宋_GB2312"/>
              </w:rPr>
              <w:t>供应商具备有效的质量管理体系认证证书、信息安全管理体系认证证书、信息技术服务管理体系认证证书，提供一个证书得1分，最高得3分。注：提供证书扫描件并加盖供应商公章。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供应商履约能力2</w:t>
            </w:r>
          </w:p>
        </w:tc>
        <w:tc>
          <w:tcPr>
            <w:tcW w:type="dxa" w:w="2492"/>
          </w:tcPr>
          <w:p>
            <w:pPr>
              <w:pStyle w:val="null3"/>
            </w:pPr>
            <w:r>
              <w:rPr>
                <w:rFonts w:ascii="仿宋_GB2312" w:hAnsi="仿宋_GB2312" w:cs="仿宋_GB2312" w:eastAsia="仿宋_GB2312"/>
              </w:rPr>
              <w:t>供应商具有国家信息安全风险评估服务资质认证证书，得2分，未提供不计分。 注：提供证书扫描件并加盖供应商公章。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付款方式、验收</w:t>
            </w:r>
          </w:p>
        </w:tc>
        <w:tc>
          <w:tcPr>
            <w:tcW w:type="dxa" w:w="2492"/>
          </w:tcPr>
          <w:p>
            <w:pPr>
              <w:pStyle w:val="null3"/>
            </w:pPr>
            <w:r>
              <w:rPr>
                <w:rFonts w:ascii="仿宋_GB2312" w:hAnsi="仿宋_GB2312" w:cs="仿宋_GB2312" w:eastAsia="仿宋_GB2312"/>
              </w:rPr>
              <w:t>全部响应得5分，偏离任意一项，本项得0分。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技术和商务条款响应表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提供2023年1月1日至今（以合同签订日期为准）同类项目业绩1个得2分，最高得10分。 提供合同扫描件并加盖公章，合同扫描件要求：至少含首页、双方签字盖章页、反映实施内容页、反映签署日期页。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10分）。其他供应商的价格分统一按照下列公式计算：响应报价得分=(基准价／响应报价（最后报价）)×10分。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详见附件：技术和商务条款响应表</w:t>
      </w:r>
    </w:p>
    <w:p>
      <w:pPr>
        <w:pStyle w:val="null3"/>
        <w:ind w:firstLine="960"/>
      </w:pPr>
      <w:r>
        <w:rPr>
          <w:rFonts w:ascii="仿宋_GB2312" w:hAnsi="仿宋_GB2312" w:cs="仿宋_GB2312" w:eastAsia="仿宋_GB2312"/>
        </w:rPr>
        <w:t>详见附件：磋商报价方案说明书</w:t>
      </w:r>
    </w:p>
    <w:p>
      <w:pPr>
        <w:pStyle w:val="null3"/>
        <w:ind w:firstLine="960"/>
      </w:pPr>
      <w:r>
        <w:rPr>
          <w:rFonts w:ascii="仿宋_GB2312" w:hAnsi="仿宋_GB2312" w:cs="仿宋_GB2312" w:eastAsia="仿宋_GB2312"/>
        </w:rPr>
        <w:t>详见附件：供应商业绩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