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版本号：SXYM2026-11420260715001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肖家庄村、石墩河村中药材大棚改造项目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SXYM2026-114</w:t>
      </w:r>
      <w:r>
        <w:br/>
      </w:r>
      <w:r>
        <w:br/>
      </w:r>
      <w:r>
        <w:br/>
      </w:r>
    </w:p>
    <w:p>
      <w:pPr>
        <w:pStyle w:val="null3"/>
        <w:jc w:val="center"/>
        <w:outlineLvl w:val="2"/>
      </w:pPr>
      <w:r>
        <w:rPr>
          <w:rFonts w:ascii="仿宋_GB2312" w:hAnsi="仿宋_GB2312" w:cs="仿宋_GB2312" w:eastAsia="仿宋_GB2312"/>
          <w:sz w:val="28"/>
          <w:b/>
        </w:rPr>
        <w:t>佛坪县农业农村局</w:t>
      </w:r>
    </w:p>
    <w:p>
      <w:pPr>
        <w:pStyle w:val="null3"/>
        <w:jc w:val="center"/>
        <w:outlineLvl w:val="2"/>
      </w:pPr>
      <w:r>
        <w:rPr>
          <w:rFonts w:ascii="仿宋_GB2312" w:hAnsi="仿宋_GB2312" w:cs="仿宋_GB2312" w:eastAsia="仿宋_GB2312"/>
          <w:sz w:val="28"/>
          <w:b/>
        </w:rPr>
        <w:t>陕西扬明项目管理有限公司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陕西扬明项目管理有限公司</w:t>
      </w:r>
      <w:r>
        <w:rPr>
          <w:rFonts w:ascii="仿宋_GB2312" w:hAnsi="仿宋_GB2312" w:cs="仿宋_GB2312" w:eastAsia="仿宋_GB2312"/>
        </w:rPr>
        <w:t>（以下简称“代理机构”）受</w:t>
      </w:r>
      <w:r>
        <w:rPr>
          <w:rFonts w:ascii="仿宋_GB2312" w:hAnsi="仿宋_GB2312" w:cs="仿宋_GB2312" w:eastAsia="仿宋_GB2312"/>
        </w:rPr>
        <w:t>佛坪县农业农村局</w:t>
      </w:r>
      <w:r>
        <w:rPr>
          <w:rFonts w:ascii="仿宋_GB2312" w:hAnsi="仿宋_GB2312" w:cs="仿宋_GB2312" w:eastAsia="仿宋_GB2312"/>
        </w:rPr>
        <w:t>委托，拟对</w:t>
      </w:r>
      <w:r>
        <w:rPr>
          <w:rFonts w:ascii="仿宋_GB2312" w:hAnsi="仿宋_GB2312" w:cs="仿宋_GB2312" w:eastAsia="仿宋_GB2312"/>
        </w:rPr>
        <w:t>肖家庄村、石墩河村中药材大棚改造项目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SXYM2026-114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肖家庄村、石墩河村中药材大棚改造项目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肖家庄村、石墩河村中药材大棚改造。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提供供应商合法注册的法人或其他组织的营业执照/事业单位法人证书/非企业专业服务机构执业许可证/民办非企业单位登记证书；供应商需在项目电子化交易系统中按要求上传相应证明文件并进行电子签章。</w:t>
      </w:r>
    </w:p>
    <w:p>
      <w:pPr>
        <w:pStyle w:val="null3"/>
      </w:pPr>
      <w:r>
        <w:rPr>
          <w:rFonts w:ascii="仿宋_GB2312" w:hAnsi="仿宋_GB2312" w:cs="仿宋_GB2312" w:eastAsia="仿宋_GB2312"/>
        </w:rPr>
        <w:t>2、承诺函：供应商须具有良好的商业信誉和健全的财务会计制度、具有履行合同所必需的设备和专业技术能力、有依法缴纳税收和社会保障资金的良好记录、参加政府采购活动前三年内在经营活动中没有重大违法记录，按照汉中市财政局《关于全面推行政府采购供应商基本资格条件承诺制的通知》（汉采办采管〔2024〕20号）文件要求提供《汉中市政府采购供应商资格承诺函》； 供应商需在项目电子化交易系统中按要求上传相应证明文件并进行电子签章。</w:t>
      </w:r>
    </w:p>
    <w:p>
      <w:pPr>
        <w:pStyle w:val="null3"/>
      </w:pPr>
      <w:r>
        <w:rPr>
          <w:rFonts w:ascii="仿宋_GB2312" w:hAnsi="仿宋_GB2312" w:cs="仿宋_GB2312" w:eastAsia="仿宋_GB2312"/>
        </w:rPr>
        <w:t>3、法律、行政法规规定的其他条件：（1）供应商须具备电子与智能化工程专业承包二级及以上资质，具备有效的安全生产许可证；（2）法定代表人或负责人参与磋商时需提供法定代表人或负责人资格证明书（附法定代表人或负责人身份证复印件）；被授权人参与磋商时需提供法定代表人或负责人授权委托书（附法定代表人或负责人及被授权人身份证复印件）；供应商需在项目电子化交易系统中按要求上传相应证明文件并进行电子签章。</w:t>
      </w:r>
    </w:p>
    <w:p>
      <w:pPr>
        <w:pStyle w:val="null3"/>
      </w:pPr>
      <w:r>
        <w:rPr>
          <w:rFonts w:ascii="仿宋_GB2312" w:hAnsi="仿宋_GB2312" w:cs="仿宋_GB2312" w:eastAsia="仿宋_GB2312"/>
        </w:rPr>
        <w:t>4、供应商企业关系关联及联合体说明：（1）本项目不接受联合体磋商；（2）单位负责人为同一人或者存在直接控股、管理关系的不同供应商，不得参加同一合同项下的政府采购活动；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佛坪县南环路2号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0916-8912278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陕西扬明项目管理有限公司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西安市雁塔区高新路西部国际广场B座28层2829室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13359280273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采购包1：3,203,315.67元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开户名称：陕西扬明项目管理有限公司</w:t>
            </w:r>
          </w:p>
          <w:p>
            <w:pPr>
              <w:pStyle w:val="null3"/>
            </w:pPr>
            <w:r>
              <w:rPr>
                <w:rFonts w:ascii="仿宋_GB2312" w:hAnsi="仿宋_GB2312" w:cs="仿宋_GB2312" w:eastAsia="仿宋_GB2312"/>
              </w:rPr>
              <w:t>开户银行：中国民生银行股份有限公司西安雁塔路支行</w:t>
            </w:r>
          </w:p>
          <w:p>
            <w:pPr>
              <w:pStyle w:val="null3"/>
            </w:pPr>
            <w:r>
              <w:rPr>
                <w:rFonts w:ascii="仿宋_GB2312" w:hAnsi="仿宋_GB2312" w:cs="仿宋_GB2312" w:eastAsia="仿宋_GB2312"/>
              </w:rPr>
              <w:t>银行账号：637490582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1、参照原国家计委2002年颁发的《招标代理服务收费管理暂行办法》(计价格〔2002〕1980号)以及《国家发改委关于降低部分建设项目收费标准规范收费行为等有关问题的通知》(发改价格〔2011〕〕534号)规定的标准收取； 2、招标服务费应采用转账形式缴纳。开户名称：陕西扬明项目管理有限公司；开户行名称：中国民生银行股份有限公司西安雁塔路支行；账号：637490582。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佛坪县农业农村局</w:t>
      </w:r>
      <w:r>
        <w:rPr>
          <w:rFonts w:ascii="仿宋_GB2312" w:hAnsi="仿宋_GB2312" w:cs="仿宋_GB2312" w:eastAsia="仿宋_GB2312"/>
        </w:rPr>
        <w:t>和</w:t>
      </w:r>
      <w:r>
        <w:rPr>
          <w:rFonts w:ascii="仿宋_GB2312" w:hAnsi="仿宋_GB2312" w:cs="仿宋_GB2312" w:eastAsia="仿宋_GB2312"/>
        </w:rPr>
        <w:t>陕西扬明项目管理有限公司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陕西扬明项目管理有限公司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陕西扬明项目管理有限公司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陕西扬明项目管理有限公司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陕西扬明项目管理有限公司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陕西扬明项目管理有限公司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联系人：冯工</w:t>
      </w:r>
    </w:p>
    <w:p>
      <w:pPr>
        <w:pStyle w:val="null3"/>
      </w:pPr>
      <w:r>
        <w:rPr>
          <w:rFonts w:ascii="仿宋_GB2312" w:hAnsi="仿宋_GB2312" w:cs="仿宋_GB2312" w:eastAsia="仿宋_GB2312"/>
        </w:rPr>
        <w:t>联系电话：13359280273</w:t>
      </w:r>
    </w:p>
    <w:p>
      <w:pPr>
        <w:pStyle w:val="null3"/>
      </w:pPr>
      <w:r>
        <w:rPr>
          <w:rFonts w:ascii="仿宋_GB2312" w:hAnsi="仿宋_GB2312" w:cs="仿宋_GB2312" w:eastAsia="仿宋_GB2312"/>
        </w:rPr>
        <w:t>地址：西安市雁塔区高新路西部国际广场B座28层2829室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3,203,315.67</w:t>
      </w:r>
    </w:p>
    <w:p>
      <w:pPr>
        <w:pStyle w:val="null3"/>
      </w:pPr>
      <w:r>
        <w:rPr>
          <w:rFonts w:ascii="仿宋_GB2312" w:hAnsi="仿宋_GB2312" w:cs="仿宋_GB2312" w:eastAsia="仿宋_GB2312"/>
        </w:rPr>
        <w:t>采购包最高限价（元）: 3,203,315.67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肖家庄村、石墩河村中药材大棚改造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3,203,315.67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标的名称：肖家庄村、石墩河村中药材大棚改造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（一）项目名称：肖家庄村、石墩河村中药材大棚改造项目</w:t>
            </w:r>
          </w:p>
          <w:p>
            <w:pPr>
              <w:pStyle w:val="null3"/>
              <w:jc w:val="both"/>
            </w:pPr>
            <w:r>
              <w:rPr>
                <w:rFonts w:ascii="仿宋_GB2312" w:hAnsi="仿宋_GB2312" w:cs="仿宋_GB2312" w:eastAsia="仿宋_GB2312"/>
                <w:sz w:val="21"/>
              </w:rPr>
              <w:t>（二）项目工期：合同签订后</w:t>
            </w:r>
            <w:r>
              <w:rPr>
                <w:rFonts w:ascii="仿宋_GB2312" w:hAnsi="仿宋_GB2312" w:cs="仿宋_GB2312" w:eastAsia="仿宋_GB2312"/>
                <w:sz w:val="21"/>
              </w:rPr>
              <w:t>90个日历日</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项目地点：采购人指定地点</w:t>
            </w:r>
          </w:p>
          <w:p>
            <w:pPr>
              <w:pStyle w:val="null3"/>
              <w:jc w:val="both"/>
            </w:pPr>
            <w:r>
              <w:rPr>
                <w:rFonts w:ascii="仿宋_GB2312" w:hAnsi="仿宋_GB2312" w:cs="仿宋_GB2312" w:eastAsia="仿宋_GB2312"/>
                <w:sz w:val="21"/>
              </w:rPr>
              <w:t>（四）质保期：验收合格后不少于</w:t>
            </w:r>
            <w:r>
              <w:rPr>
                <w:rFonts w:ascii="仿宋_GB2312" w:hAnsi="仿宋_GB2312" w:cs="仿宋_GB2312" w:eastAsia="仿宋_GB2312"/>
                <w:sz w:val="21"/>
              </w:rPr>
              <w:t>36个月</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施工要求：</w:t>
            </w:r>
          </w:p>
          <w:p>
            <w:pPr>
              <w:pStyle w:val="null3"/>
              <w:ind w:firstLine="420"/>
              <w:jc w:val="both"/>
            </w:pPr>
            <w:r>
              <w:rPr>
                <w:rFonts w:ascii="仿宋_GB2312" w:hAnsi="仿宋_GB2312" w:cs="仿宋_GB2312" w:eastAsia="仿宋_GB2312"/>
                <w:sz w:val="21"/>
              </w:rPr>
              <w:t>1、成交人在施工期间应严格遵守国家、省、市有关防火、爆破和施工安全以及文明施工、深夜施工、环卫和城管等规定，建立规章制度和防护措施，应按安全施工的要求，采取严格科学的安全措施，确保施工安全和第三者的安全，确保工程质量和生产安全。否则，由此造成的经济和法律责任均由成交人负责。</w:t>
            </w:r>
          </w:p>
          <w:p>
            <w:pPr>
              <w:pStyle w:val="null3"/>
              <w:ind w:firstLine="420"/>
              <w:jc w:val="both"/>
            </w:pPr>
            <w:r>
              <w:rPr>
                <w:rFonts w:ascii="仿宋_GB2312" w:hAnsi="仿宋_GB2312" w:cs="仿宋_GB2312" w:eastAsia="仿宋_GB2312"/>
                <w:sz w:val="21"/>
              </w:rPr>
              <w:t>2、成交人应配合项目建设进度，向采购人提供施工组织计划、进度计划和施工作业计划，并签订施工安全责任书。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六</w:t>
            </w:r>
            <w:r>
              <w:rPr>
                <w:rFonts w:ascii="仿宋_GB2312" w:hAnsi="仿宋_GB2312" w:cs="仿宋_GB2312" w:eastAsia="仿宋_GB2312"/>
                <w:sz w:val="21"/>
              </w:rPr>
              <w:t>)质量保证：工程质量达到国家现行施工验收规范合格标准，并符合采购文件、合同以及采购方使用需求。</w:t>
            </w:r>
          </w:p>
          <w:p>
            <w:pPr>
              <w:pStyle w:val="null3"/>
              <w:jc w:val="both"/>
            </w:pPr>
            <w:r>
              <w:rPr>
                <w:rFonts w:ascii="仿宋_GB2312" w:hAnsi="仿宋_GB2312" w:cs="仿宋_GB2312" w:eastAsia="仿宋_GB2312"/>
                <w:sz w:val="21"/>
              </w:rPr>
              <w:t>（七）违约责任</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1、按《中华人民共和国民法典》中的相关条款执行。</w:t>
            </w:r>
          </w:p>
          <w:p>
            <w:pPr>
              <w:pStyle w:val="null3"/>
              <w:ind w:firstLine="420"/>
              <w:jc w:val="both"/>
            </w:pPr>
            <w:r>
              <w:rPr>
                <w:rFonts w:ascii="仿宋_GB2312" w:hAnsi="仿宋_GB2312" w:cs="仿宋_GB2312" w:eastAsia="仿宋_GB2312"/>
                <w:sz w:val="21"/>
              </w:rPr>
              <w:t>2、未按合同要求提供工程质量或工程质量不能满足技术要求，采购人有权终止合同，并对供方违约行为进行追究，同时按《政府采购法》的有关规定进行处罚。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八</w:t>
            </w:r>
            <w:r>
              <w:rPr>
                <w:rFonts w:ascii="仿宋_GB2312" w:hAnsi="仿宋_GB2312" w:cs="仿宋_GB2312" w:eastAsia="仿宋_GB2312"/>
                <w:sz w:val="21"/>
              </w:rPr>
              <w:t>)工程量清单见附件。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符合国家相关工程管理规定及行业标准。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满足国家现行有关设计规范、规程和地方法规、标准。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磋商一次，磋商后供应商根据磋商内容在规定时间通过交易系统递交磋商响应函，逾期未递交的视为自动放弃竞争；2、本项目采用两轮报价，响应文件中的报价为首次报价，磋商后的报价为最终报价；3、为顺利推进政府采购电子化交易平台应用工作，成交供应商需要在领取成交通知书时向代理机构提供纸质版响应文件，正本壹份、副本贰份。 纸质版文件提交地址为：西安市雁塔区高新路西部国际广场B座28层2829室。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拒绝政府采购贿赂承诺书.docx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事业单位法人证书/非企业专业服务机构执业许可证/民办非企业单位登记证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有依法缴纳税收和社会保障资金的良好记录、参加政府采购活动前三年内在经营活动中没有重大违法记录，按照汉中市财政局《关于全面推行政府采购供应商基本资格条件承诺制的通知》（汉采办采管〔2024〕20号）文件要求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拒绝政府采购贿赂承诺书.docx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1）供应商须具备电子与智能化工程专业承包二级及以上资质，具备有效的安全生产许可证；（2）法定代表人或负责人参与磋商时需提供法定代表人或负责人资格证明书（附法定代表人或负责人身份证复印件）；被授权人参与磋商时需提供法定代表人或负责人授权委托书（附法定代表人或负责人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1）本项目不接受联合体磋商；（2）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响应文件有效期是否符合竞争性磋商文件要求</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响应文件是否符合竞争性磋商文件签字、盖章要求</w:t>
            </w:r>
          </w:p>
        </w:tc>
        <w:tc>
          <w:tcPr>
            <w:tcW w:type="dxa" w:w="1661"/>
          </w:tcPr>
          <w:p>
            <w:pPr>
              <w:pStyle w:val="null3"/>
            </w:pPr>
            <w:r>
              <w:rPr>
                <w:rFonts w:ascii="仿宋_GB2312" w:hAnsi="仿宋_GB2312" w:cs="仿宋_GB2312" w:eastAsia="仿宋_GB2312"/>
              </w:rPr>
              <w:t>响应文件封面 已标价工程量清单 资格证明文件 项目管理机构组成表 报价函 技术服务合同条款及其他商务要求应答表 标的清单 供应商类似项目业绩一览表 响应函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（1）磋商报价是否符合唯一性要求；（2）计量单位、报价货币均是否符合磋商文件要求； （3）未超出竞争性磋商文件规定的最高限价。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工期满足磋商文件规定</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保证金缴纳凭证</w:t>
            </w:r>
          </w:p>
        </w:tc>
        <w:tc>
          <w:tcPr>
            <w:tcW w:type="dxa" w:w="3322"/>
          </w:tcPr>
          <w:p>
            <w:pPr>
              <w:pStyle w:val="null3"/>
            </w:pPr>
            <w:r>
              <w:rPr>
                <w:rFonts w:ascii="仿宋_GB2312" w:hAnsi="仿宋_GB2312" w:cs="仿宋_GB2312" w:eastAsia="仿宋_GB2312"/>
              </w:rPr>
              <w:t>供应商提供的保证金转账凭证或担保机构出具的保函是否符合磋商文件要求</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法律、法规和招标文件中规定的其他实质性要求</w:t>
            </w:r>
          </w:p>
        </w:tc>
        <w:tc>
          <w:tcPr>
            <w:tcW w:type="dxa" w:w="1661"/>
          </w:tcPr>
          <w:p>
            <w:pPr>
              <w:pStyle w:val="null3"/>
            </w:pPr>
            <w:r>
              <w:rPr>
                <w:rFonts w:ascii="仿宋_GB2312" w:hAnsi="仿宋_GB2312" w:cs="仿宋_GB2312" w:eastAsia="仿宋_GB2312"/>
              </w:rPr>
              <w:t>已标价工程量清单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1.提供ISO9001质量管理体系认证证书得2分； 2.提供信息安全服务资质认证证书-信息系统安全集成服务，具备二级及以上（含二级）服务资质得2分，具备三级服务资质得1分； 注：提供证书或网上公示截图等证明材料扫描件或复印件。须能体现投标人名称、认证或颁发单位、证书有效期等关键信息，如无法体现，须另附认证或颁发单位的相关证明材料，未提供或提供不全的不得分。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资格证明文件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提供供应商或所选产品类似业绩，每提供一份业绩得2分，最高得6分，未提供不得分。 注：须提供合同扫描件，至少包括合同首页、合同金额所在页、内容页、签字盖章页作为证明材料，提供的相应证明材料不全或模糊不清时不得分。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1.承诺投入专业人员组建实施团队，保证实施质量及服务得1分，需提供相关证明材料（或承诺函）； 2.为保障售后服务的可靠性，承诺在收到问题故障报修后，技术人员能够24小时内到达现场得1分，需提供相关证明材料（或承诺函）。 注：承诺函格式自拟，须有法人或授权人签字并加盖供应商公章，不提供不得分。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1.项目经理1名。 拟派的项目经理具有PMP或信息系统项目管理师证书，得2分； 2.为本项目配备技术团队成员（不含项目经理）不少于4人，每提供一人得1分，最高得4分。 注：拟派技术团队需为本单位在职人员，需提供身份证、资格证书、2025年1月至今任意连续3个月在本单位缴纳的社保证明材料扫描件或复印件，不提供或提供不齐全不得分。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技术能力</w:t>
            </w:r>
          </w:p>
        </w:tc>
        <w:tc>
          <w:tcPr>
            <w:tcW w:type="dxa" w:w="2492"/>
          </w:tcPr>
          <w:p>
            <w:pPr>
              <w:pStyle w:val="null3"/>
            </w:pPr>
            <w:r>
              <w:rPr>
                <w:rFonts w:ascii="仿宋_GB2312" w:hAnsi="仿宋_GB2312" w:cs="仿宋_GB2312" w:eastAsia="仿宋_GB2312"/>
              </w:rPr>
              <w:t>1.提供针对本项目主要产品的合法渠道来源文件(不限于销售协议、代理协议、原厂授权等)，提供得2分； 2.提供本项目涉及的智慧大棚软件平台软件著作权证书扫描件或复印件，每提供1个得1分，最高得2分； 3.提供本项目清单中智慧大棚软件平台标▲项软件功能证明材料（不限于官网和功能截图、产品彩页、说明书等相关资料），每提供一个得1分，最高得4分。 注：以上1-3项资料均需加盖生产厂家公章。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建设效果图</w:t>
            </w:r>
          </w:p>
        </w:tc>
        <w:tc>
          <w:tcPr>
            <w:tcW w:type="dxa" w:w="2492"/>
          </w:tcPr>
          <w:p>
            <w:pPr>
              <w:pStyle w:val="null3"/>
            </w:pPr>
            <w:r>
              <w:rPr>
                <w:rFonts w:ascii="仿宋_GB2312" w:hAnsi="仿宋_GB2312" w:cs="仿宋_GB2312" w:eastAsia="仿宋_GB2312"/>
              </w:rPr>
              <w:t>根据此次项目建设清单内容，自行设计提供大棚内建设效果图，能准确反映大棚内多功能展示区、LED屏、风机及水帘、喷淋系统等，每提供1张图纸得2分，最高得4分。 注：须提供效果图纸并加盖投标人公章，不提供不得分。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项目建设方案</w:t>
            </w:r>
          </w:p>
        </w:tc>
        <w:tc>
          <w:tcPr>
            <w:tcW w:type="dxa" w:w="2492"/>
          </w:tcPr>
          <w:p>
            <w:pPr>
              <w:pStyle w:val="null3"/>
            </w:pPr>
            <w:r>
              <w:rPr>
                <w:rFonts w:ascii="仿宋_GB2312" w:hAnsi="仿宋_GB2312" w:cs="仿宋_GB2312" w:eastAsia="仿宋_GB2312"/>
              </w:rPr>
              <w:t>整体建设思路清晰，包括项目背景及需求，建设目标、建设内容、总体架构等方面，根据项目整体方案是否具有合理性、科学性、全面性进行评审。 ①整体方案思路科学性、合理性、全面性突出，描述条理清晰，针对项目理解深刻、建设内容完全满足项目需求、方案配置齐全的得15分； ②整体方案合理，描述条理比较清晰，针对项目理解比较深刻，建设内容满足项目需求，方案配置齐全的得12分； ③整体方案比较合理，描述条理较清晰，针对项目理解较简单，建设内容基本满足项目需求，方案配置较为齐全的9分； ④整体方案存在明显不足，描述简单笼统，针对项目理解较差，建设内容有缺漏，方案配置不齐全的得6分； ⑤整体方案有严重缺陷，描述含糊不清，针对项目理解不符合要求、建设内容无法满足项目需求、方案配置不齐全的得2分； ⑥不提供方案则不得分。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提供保证项目实施的各项措施得分，包括实施组织计划、供货组织措施、质量保证措施、安全管理措施、项目进度措施、确保文明施工、安全施工组织等方面。 ①方案内容齐全、阐述详实具体、合理性极强，完全满足项目需求的得15分； ②方案内容齐全、阐述较为详实、合理性较强，满足项目需求的得12分； ③方案内容较为齐全、阐述简单具有合理性，基本满足项目需求的得9分； ④方案内容不齐全，阐述笼统，部分具有合理性，需要优化后才能基本满足项目需求的得6分； ⑤方案内容不齐全，阐述混乱有漏项，合理性无法满足项目需求的得2分； ⑥不提供方案则不得分。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提供售后服务方案，在质保期内保障软件系统和硬件设备的正常稳定运行，方案包括售后服务流程、售后服务内容、运行维护范围、故障响应等方面内容。 ①方案齐全、可操作性强，完全满足项目需求的得5分； ②方案齐全、具有可操作性，满足项目需求的4分； ③方案较为齐全、有一定可操作性，基本满足项目需求的3分； ④方案不齐全、可操作性较差，需要优化后才能基本满足项目需求的2分； ⑤方案不齐全、合理性低、完全无法满足项目需求的得1分； ⑥不提供方案则不得分。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提供的本项目建设内容相关的培训方案，包括培训课程安排、培训内容、培训课时、组织方式以及培训质量的保证措施等方面内容。 ①方案完全符合本项目实际情况，内容描述详实全面，具有强针对性的得5分； ②方案符合本项目实际情况，内容描述较为全面，比较有针对性的得4分； ③方案基本符合项目实际情况，内容描述简单、有一定针对性的得3分； ④方案较少符合本项目实际情况，内容描述笼统、针对性较少的得2分； ⑤方案不符合本项目实际情况，内容描述有漏项、无针对性的得1分； ⑥不提供方案则不得分。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价格分采用低价优先法计算，即满足采购文件要求且磋商报价价格最低的磋商报价为评标基准价，其价格分为满分。其他供应商的价格分统一按照下列公式计算： 磋商报价得分=（评审基准价/磋商报价）×价格权值（即30）×100%（因落实政府采购政策进行价格调整的，以调整后的价格计算评标基准价和磋商报价。）注：磋商报价明显低于其他通过符合性审查供应商的报价，经评审委员会质询后不能在规定时间内说明理由，或说明理由但评审委员会认为理由不能成立的，客观上形成不良竞争，按无效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详见附件：拒绝政府采购贿赂承诺书.docx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