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142D">
      <w:pPr>
        <w:keepNext w:val="0"/>
        <w:keepLines w:val="0"/>
        <w:pageBreakBefore w:val="0"/>
        <w:widowControl w:val="0"/>
        <w:kinsoku/>
        <w:overflowPunct/>
        <w:topLinePunct w:val="0"/>
        <w:bidi w:val="0"/>
        <w:spacing w:line="500" w:lineRule="exact"/>
        <w:ind w:left="0" w:right="0"/>
        <w:jc w:val="center"/>
        <w:textAlignment w:val="auto"/>
        <w:rPr>
          <w:rFonts w:hint="eastAsia" w:eastAsia="宋体"/>
          <w:b/>
          <w:bCs/>
          <w:color w:val="000000"/>
          <w:spacing w:val="12"/>
          <w:sz w:val="40"/>
          <w:szCs w:val="48"/>
          <w:highlight w:val="yellow"/>
          <w:lang w:eastAsia="zh-CN"/>
        </w:rPr>
      </w:pPr>
      <w:r>
        <w:rPr>
          <w:rFonts w:hint="eastAsia" w:ascii="宋体" w:hAnsi="宋体" w:cs="宋体"/>
          <w:b/>
          <w:bCs/>
          <w:color w:val="000000"/>
          <w:sz w:val="40"/>
          <w:szCs w:val="48"/>
          <w:lang w:val="en-US" w:eastAsia="zh-CN"/>
        </w:rPr>
        <w:t xml:space="preserve">（仅供参考） </w:t>
      </w:r>
      <w:bookmarkStart w:id="0" w:name="_GoBack"/>
      <w:bookmarkEnd w:id="0"/>
    </w:p>
    <w:p w14:paraId="6D791D43">
      <w:pPr>
        <w:jc w:val="center"/>
        <w:rPr>
          <w:rFonts w:ascii="宋体" w:hAnsi="宋体" w:eastAsia="宋体" w:cs="宋体"/>
          <w:b/>
          <w:bCs/>
          <w:sz w:val="36"/>
          <w:szCs w:val="40"/>
        </w:rPr>
      </w:pPr>
    </w:p>
    <w:p w14:paraId="1F534D45">
      <w:pPr>
        <w:pStyle w:val="2"/>
        <w:spacing w:before="0" w:after="0" w:line="480" w:lineRule="auto"/>
        <w:jc w:val="center"/>
        <w:rPr>
          <w:rFonts w:asciiTheme="minorEastAsia" w:hAnsiTheme="minorEastAsia" w:eastAsiaTheme="minorEastAsia"/>
        </w:rPr>
      </w:pPr>
      <w:r>
        <w:rPr>
          <w:rFonts w:hint="eastAsia" w:asciiTheme="minorEastAsia" w:hAnsiTheme="minorEastAsia" w:eastAsiaTheme="minorEastAsia"/>
        </w:rPr>
        <w:t>合同条款</w:t>
      </w:r>
    </w:p>
    <w:tbl>
      <w:tblPr>
        <w:tblStyle w:val="12"/>
        <w:tblW w:w="0" w:type="auto"/>
        <w:jc w:val="center"/>
        <w:tblLayout w:type="fixed"/>
        <w:tblCellMar>
          <w:top w:w="0" w:type="dxa"/>
          <w:left w:w="108" w:type="dxa"/>
          <w:bottom w:w="0" w:type="dxa"/>
          <w:right w:w="108" w:type="dxa"/>
        </w:tblCellMar>
      </w:tblPr>
      <w:tblGrid>
        <w:gridCol w:w="1440"/>
        <w:gridCol w:w="7020"/>
      </w:tblGrid>
      <w:tr w14:paraId="123462FE">
        <w:tblPrEx>
          <w:tblCellMar>
            <w:top w:w="0" w:type="dxa"/>
            <w:left w:w="108" w:type="dxa"/>
            <w:bottom w:w="0" w:type="dxa"/>
            <w:right w:w="108" w:type="dxa"/>
          </w:tblCellMar>
        </w:tblPrEx>
        <w:trPr>
          <w:trHeight w:val="607" w:hRule="atLeast"/>
          <w:jc w:val="center"/>
        </w:trPr>
        <w:tc>
          <w:tcPr>
            <w:tcW w:w="1440" w:type="dxa"/>
            <w:vAlign w:val="center"/>
          </w:tcPr>
          <w:p w14:paraId="186BF138">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第一部分</w:t>
            </w:r>
          </w:p>
        </w:tc>
        <w:tc>
          <w:tcPr>
            <w:tcW w:w="7020" w:type="dxa"/>
            <w:vAlign w:val="center"/>
          </w:tcPr>
          <w:p w14:paraId="6DFE4064">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协议书</w:t>
            </w:r>
          </w:p>
        </w:tc>
      </w:tr>
      <w:tr w14:paraId="2FDF9D6B">
        <w:tblPrEx>
          <w:tblCellMar>
            <w:top w:w="0" w:type="dxa"/>
            <w:left w:w="108" w:type="dxa"/>
            <w:bottom w:w="0" w:type="dxa"/>
            <w:right w:w="108" w:type="dxa"/>
          </w:tblCellMar>
        </w:tblPrEx>
        <w:trPr>
          <w:jc w:val="center"/>
        </w:trPr>
        <w:tc>
          <w:tcPr>
            <w:tcW w:w="1440" w:type="dxa"/>
            <w:vAlign w:val="center"/>
          </w:tcPr>
          <w:p w14:paraId="5026546D">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第二部分</w:t>
            </w:r>
          </w:p>
        </w:tc>
        <w:tc>
          <w:tcPr>
            <w:tcW w:w="7020" w:type="dxa"/>
            <w:vAlign w:val="center"/>
          </w:tcPr>
          <w:p w14:paraId="2973ED47">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通用条款</w:t>
            </w:r>
          </w:p>
        </w:tc>
      </w:tr>
      <w:tr w14:paraId="50700F90">
        <w:tblPrEx>
          <w:tblCellMar>
            <w:top w:w="0" w:type="dxa"/>
            <w:left w:w="108" w:type="dxa"/>
            <w:bottom w:w="0" w:type="dxa"/>
            <w:right w:w="108" w:type="dxa"/>
          </w:tblCellMar>
        </w:tblPrEx>
        <w:trPr>
          <w:jc w:val="center"/>
        </w:trPr>
        <w:tc>
          <w:tcPr>
            <w:tcW w:w="1440" w:type="dxa"/>
            <w:vAlign w:val="center"/>
          </w:tcPr>
          <w:p w14:paraId="01343F97">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第三部分</w:t>
            </w:r>
          </w:p>
        </w:tc>
        <w:tc>
          <w:tcPr>
            <w:tcW w:w="7020" w:type="dxa"/>
            <w:vAlign w:val="center"/>
          </w:tcPr>
          <w:p w14:paraId="495D639D">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专用条款</w:t>
            </w:r>
          </w:p>
        </w:tc>
      </w:tr>
    </w:tbl>
    <w:p w14:paraId="12A740FF">
      <w:pPr>
        <w:pStyle w:val="17"/>
        <w:spacing w:line="480" w:lineRule="exact"/>
        <w:ind w:firstLine="0"/>
        <w:jc w:val="center"/>
        <w:rPr>
          <w:rFonts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第一部分</w:t>
      </w:r>
    </w:p>
    <w:p w14:paraId="5DD5FA9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一、协 议 书</w:t>
      </w:r>
    </w:p>
    <w:p w14:paraId="452E7A57">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发包人（全称）：              </w:t>
      </w:r>
    </w:p>
    <w:p w14:paraId="2D3673BF">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承包人（全称）：（成交人）   </w:t>
      </w:r>
    </w:p>
    <w:p w14:paraId="021C412A">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依照《中华人民共和国民法典》、《中华人民共和国建筑法》及其他有关法律、行政法律、行政法规，遵循平等、自愿、公平和诚实信用的原则，双方就本建设工程施工事项协商一致，订立本合同。</w:t>
      </w:r>
    </w:p>
    <w:p w14:paraId="15B1F008">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一、工程概况</w:t>
      </w:r>
    </w:p>
    <w:p w14:paraId="736E351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工程名称：                            </w:t>
      </w:r>
    </w:p>
    <w:p w14:paraId="7EEEF98D">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工程地点：                                </w:t>
      </w:r>
    </w:p>
    <w:p w14:paraId="7EDA819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工程内容：                          </w:t>
      </w:r>
    </w:p>
    <w:p w14:paraId="575C3AF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工程立项批准文号：　　　　　　　　　</w:t>
      </w:r>
    </w:p>
    <w:p w14:paraId="59E6F787">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资金来源： </w:t>
      </w:r>
    </w:p>
    <w:p w14:paraId="57A9315A">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二、工程承包范围</w:t>
      </w:r>
    </w:p>
    <w:p w14:paraId="3F9439C7">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承包范围： 详见本磋商文件招标范围  </w:t>
      </w:r>
    </w:p>
    <w:p w14:paraId="6DE952B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承包方式：                                                  </w:t>
      </w:r>
    </w:p>
    <w:p w14:paraId="320AF742">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三、合同工期</w:t>
      </w:r>
    </w:p>
    <w:p w14:paraId="29F1B01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开工日期（计划）：                          </w:t>
      </w:r>
    </w:p>
    <w:p w14:paraId="795E2A5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竣工日期：                                </w:t>
      </w:r>
    </w:p>
    <w:p w14:paraId="7BBAE403">
      <w:pPr>
        <w:adjustRightInd w:val="0"/>
        <w:snapToGrid w:val="0"/>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 xml:space="preserve">合同工期总日历天数：                </w:t>
      </w:r>
    </w:p>
    <w:p w14:paraId="6AA4781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四、质量标准</w:t>
      </w:r>
    </w:p>
    <w:p w14:paraId="7CD536A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工程质量标准：合格     </w:t>
      </w:r>
    </w:p>
    <w:p w14:paraId="1C874D47">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五、合同价款：</w:t>
      </w:r>
    </w:p>
    <w:p w14:paraId="0D8C0F9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金额（大写）：        /     元（人民币）</w:t>
      </w:r>
    </w:p>
    <w:p w14:paraId="3ECA516D">
      <w:pPr>
        <w:pStyle w:val="17"/>
        <w:spacing w:line="480" w:lineRule="exact"/>
        <w:ind w:firstLine="560"/>
        <w:rPr>
          <w:rFonts w:cs="仿宋" w:asciiTheme="minorEastAsia" w:hAnsiTheme="minorEastAsia" w:eastAsiaTheme="minorEastAsia"/>
          <w:bCs/>
          <w:sz w:val="24"/>
          <w:szCs w:val="24"/>
        </w:rPr>
      </w:pPr>
      <w:r>
        <w:rPr>
          <w:rFonts w:hint="eastAsia" w:cs="宋体" w:asciiTheme="minorEastAsia" w:hAnsiTheme="minorEastAsia" w:eastAsiaTheme="minorEastAsia"/>
          <w:bCs/>
          <w:sz w:val="24"/>
          <w:szCs w:val="24"/>
        </w:rPr>
        <w:t>¥</w:t>
      </w:r>
      <w:r>
        <w:rPr>
          <w:rFonts w:hint="eastAsia" w:cs="仿宋" w:asciiTheme="minorEastAsia" w:hAnsiTheme="minorEastAsia" w:eastAsiaTheme="minorEastAsia"/>
          <w:bCs/>
          <w:sz w:val="24"/>
          <w:szCs w:val="24"/>
        </w:rPr>
        <w:t>：        /     元</w:t>
      </w:r>
    </w:p>
    <w:p w14:paraId="51BA80FE">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六、组成合同的文件</w:t>
      </w:r>
    </w:p>
    <w:p w14:paraId="53599D4E">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组成本合同的文件包括：</w:t>
      </w:r>
    </w:p>
    <w:p w14:paraId="477BD861">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1、本合同协议书</w:t>
      </w:r>
    </w:p>
    <w:p w14:paraId="3A52266C">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2、成交通知书</w:t>
      </w:r>
    </w:p>
    <w:p w14:paraId="22EF0466">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3、本合同专用条款</w:t>
      </w:r>
    </w:p>
    <w:p w14:paraId="340BF050">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4、本合同通用条款</w:t>
      </w:r>
    </w:p>
    <w:p w14:paraId="0686A58C">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5、本工程磋商文件及澄清文件、答疑</w:t>
      </w:r>
    </w:p>
    <w:p w14:paraId="4075CBC2">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6、磋商文件</w:t>
      </w:r>
    </w:p>
    <w:p w14:paraId="3CE115DF">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7、磋商响应文件及其附件</w:t>
      </w:r>
    </w:p>
    <w:p w14:paraId="38F9B8D5">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8、标准、规范及有关技术文件</w:t>
      </w:r>
    </w:p>
    <w:p w14:paraId="0AB71ED6">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9、图纸</w:t>
      </w:r>
    </w:p>
    <w:p w14:paraId="4B5A30FF">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10、工程预算书</w:t>
      </w:r>
    </w:p>
    <w:p w14:paraId="4970787C">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11、磋商报价汇总表</w:t>
      </w:r>
    </w:p>
    <w:p w14:paraId="491C950A">
      <w:pPr>
        <w:spacing w:line="480" w:lineRule="exact"/>
        <w:ind w:left="336" w:leftChars="160" w:firstLine="240" w:firstLineChars="100"/>
        <w:rPr>
          <w:rFonts w:cs="仿宋" w:asciiTheme="minorEastAsia" w:hAnsiTheme="minorEastAsia" w:eastAsiaTheme="minorEastAsia"/>
          <w:bCs/>
          <w:sz w:val="24"/>
        </w:rPr>
      </w:pPr>
      <w:r>
        <w:rPr>
          <w:rFonts w:hint="eastAsia" w:cs="仿宋" w:asciiTheme="minorEastAsia" w:hAnsiTheme="minorEastAsia" w:eastAsiaTheme="minorEastAsia"/>
          <w:bCs/>
          <w:sz w:val="24"/>
        </w:rPr>
        <w:t>双方有关工程的洽商、变更等书面协议或文件视为本合同的组成部分。</w:t>
      </w:r>
    </w:p>
    <w:p w14:paraId="295C601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七、本协议书中有关词语含义与本合同第二部分《通用条款》中分别赋予它们的定义相同。</w:t>
      </w:r>
    </w:p>
    <w:p w14:paraId="738879B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八、承包人向发包人承诺按照合同的约定进行施工、竣工并在质量保修期内承担工程质量保修责任。</w:t>
      </w:r>
    </w:p>
    <w:p w14:paraId="5F3987A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九、发包人向承包人承诺按照合同约定的期限和方式支付合同价款及其他应当支付的款项。</w:t>
      </w:r>
    </w:p>
    <w:p w14:paraId="6B28A49F">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十、合同生效</w:t>
      </w:r>
    </w:p>
    <w:p w14:paraId="3452BF26">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合同订立时间：    年   月 　日</w:t>
      </w:r>
    </w:p>
    <w:p w14:paraId="1D00B0ED">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 xml:space="preserve">合同订立地点：                      </w:t>
      </w:r>
    </w:p>
    <w:p w14:paraId="3C39F3D3">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本合同双方约定 签字盖章   后生效。</w:t>
      </w:r>
    </w:p>
    <w:p w14:paraId="5C570DCE">
      <w:pPr>
        <w:spacing w:line="480" w:lineRule="exact"/>
        <w:rPr>
          <w:rFonts w:cs="仿宋" w:asciiTheme="minorEastAsia" w:hAnsiTheme="minorEastAsia" w:eastAsiaTheme="minorEastAsia"/>
          <w:bCs/>
          <w:sz w:val="24"/>
        </w:rPr>
      </w:pPr>
    </w:p>
    <w:p w14:paraId="5467F3C5">
      <w:pPr>
        <w:spacing w:line="480" w:lineRule="exact"/>
        <w:rPr>
          <w:rFonts w:cs="仿宋" w:asciiTheme="minorEastAsia" w:hAnsiTheme="minorEastAsia" w:eastAsiaTheme="minorEastAsia"/>
          <w:bCs/>
          <w:sz w:val="24"/>
        </w:rPr>
      </w:pPr>
    </w:p>
    <w:p w14:paraId="2D94C6C9">
      <w:pPr>
        <w:spacing w:line="480" w:lineRule="exact"/>
        <w:rPr>
          <w:rFonts w:cs="仿宋" w:asciiTheme="minorEastAsia" w:hAnsiTheme="minorEastAsia" w:eastAsiaTheme="minorEastAsia"/>
          <w:bCs/>
          <w:sz w:val="24"/>
        </w:rPr>
      </w:pPr>
    </w:p>
    <w:p w14:paraId="1A8DB711">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发 包 人：（公章）                     承 包 人：（公章）</w:t>
      </w:r>
    </w:p>
    <w:p w14:paraId="5A071C92">
      <w:pPr>
        <w:pStyle w:val="17"/>
        <w:spacing w:line="480" w:lineRule="exact"/>
        <w:ind w:firstLine="480" w:firstLineChars="20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住    所：                             住    所：</w:t>
      </w:r>
    </w:p>
    <w:p w14:paraId="4CF0E689">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法定代表人：                         法定代表人：</w:t>
      </w:r>
    </w:p>
    <w:p w14:paraId="26317CA8">
      <w:pPr>
        <w:tabs>
          <w:tab w:val="left" w:pos="540"/>
        </w:tabs>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委托代理人：                         委托代表人：</w:t>
      </w:r>
    </w:p>
    <w:p w14:paraId="3775AC85">
      <w:pPr>
        <w:tabs>
          <w:tab w:val="left" w:pos="5040"/>
        </w:tabs>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电    话：                             电    话：</w:t>
      </w:r>
    </w:p>
    <w:p w14:paraId="52ED7553">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传    真：                             传    真：</w:t>
      </w:r>
    </w:p>
    <w:p w14:paraId="29B4E7BF">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开户银行：                             开户银行：</w:t>
      </w:r>
    </w:p>
    <w:p w14:paraId="44FBBBEE">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账    号：                              账    号：</w:t>
      </w:r>
    </w:p>
    <w:p w14:paraId="61723533">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邮政编码：                              邮政编码：</w:t>
      </w:r>
    </w:p>
    <w:p w14:paraId="1511CC80">
      <w:pPr>
        <w:spacing w:line="480" w:lineRule="exact"/>
        <w:ind w:firstLine="480" w:firstLineChars="200"/>
        <w:rPr>
          <w:rFonts w:cs="仿宋" w:asciiTheme="minorEastAsia" w:hAnsiTheme="minorEastAsia" w:eastAsiaTheme="minorEastAsia"/>
          <w:bCs/>
          <w:sz w:val="24"/>
        </w:rPr>
      </w:pPr>
    </w:p>
    <w:p w14:paraId="1ADC80E3">
      <w:pPr>
        <w:spacing w:line="480" w:lineRule="exact"/>
        <w:jc w:val="center"/>
        <w:rPr>
          <w:rFonts w:cs="仿宋" w:asciiTheme="minorEastAsia" w:hAnsiTheme="minorEastAsia" w:eastAsiaTheme="minorEastAsia"/>
          <w:bCs/>
          <w:sz w:val="24"/>
        </w:rPr>
      </w:pPr>
    </w:p>
    <w:p w14:paraId="17DBB2B3">
      <w:pPr>
        <w:spacing w:line="480" w:lineRule="exact"/>
        <w:jc w:val="center"/>
        <w:rPr>
          <w:rFonts w:cs="仿宋" w:asciiTheme="minorEastAsia" w:hAnsiTheme="minorEastAsia" w:eastAsiaTheme="minorEastAsia"/>
          <w:bCs/>
          <w:sz w:val="24"/>
        </w:rPr>
      </w:pPr>
    </w:p>
    <w:p w14:paraId="4AD37273">
      <w:pPr>
        <w:spacing w:line="480" w:lineRule="exact"/>
        <w:jc w:val="center"/>
        <w:rPr>
          <w:rFonts w:cs="仿宋" w:asciiTheme="minorEastAsia" w:hAnsiTheme="minorEastAsia" w:eastAsiaTheme="minorEastAsia"/>
          <w:bCs/>
          <w:sz w:val="24"/>
        </w:rPr>
      </w:pPr>
    </w:p>
    <w:p w14:paraId="7760A921">
      <w:pPr>
        <w:spacing w:line="480" w:lineRule="exact"/>
        <w:jc w:val="center"/>
        <w:rPr>
          <w:rFonts w:cs="仿宋" w:asciiTheme="minorEastAsia" w:hAnsiTheme="minorEastAsia" w:eastAsiaTheme="minorEastAsia"/>
          <w:bCs/>
          <w:sz w:val="24"/>
        </w:rPr>
      </w:pPr>
    </w:p>
    <w:p w14:paraId="4A418988">
      <w:pPr>
        <w:spacing w:line="480" w:lineRule="exact"/>
        <w:jc w:val="center"/>
        <w:rPr>
          <w:rFonts w:cs="仿宋" w:asciiTheme="minorEastAsia" w:hAnsiTheme="minorEastAsia" w:eastAsiaTheme="minorEastAsia"/>
          <w:bCs/>
          <w:sz w:val="24"/>
        </w:rPr>
      </w:pPr>
    </w:p>
    <w:p w14:paraId="119DA771">
      <w:pPr>
        <w:spacing w:line="480" w:lineRule="exact"/>
        <w:jc w:val="center"/>
        <w:rPr>
          <w:rFonts w:cs="仿宋" w:asciiTheme="minorEastAsia" w:hAnsiTheme="minorEastAsia" w:eastAsiaTheme="minorEastAsia"/>
          <w:bCs/>
          <w:sz w:val="24"/>
        </w:rPr>
      </w:pPr>
    </w:p>
    <w:p w14:paraId="0A926F2B">
      <w:pPr>
        <w:spacing w:line="480" w:lineRule="exact"/>
        <w:jc w:val="center"/>
        <w:rPr>
          <w:rFonts w:cs="仿宋" w:asciiTheme="minorEastAsia" w:hAnsiTheme="minorEastAsia" w:eastAsiaTheme="minorEastAsia"/>
          <w:bCs/>
          <w:sz w:val="24"/>
        </w:rPr>
      </w:pPr>
    </w:p>
    <w:p w14:paraId="08EF6FD5">
      <w:pPr>
        <w:spacing w:line="480" w:lineRule="exact"/>
        <w:jc w:val="center"/>
        <w:rPr>
          <w:rFonts w:cs="仿宋" w:asciiTheme="minorEastAsia" w:hAnsiTheme="minorEastAsia" w:eastAsiaTheme="minorEastAsia"/>
          <w:bCs/>
          <w:sz w:val="24"/>
        </w:rPr>
      </w:pPr>
    </w:p>
    <w:p w14:paraId="258BB016">
      <w:pPr>
        <w:spacing w:line="480" w:lineRule="exact"/>
        <w:jc w:val="center"/>
        <w:rPr>
          <w:rFonts w:cs="仿宋" w:asciiTheme="minorEastAsia" w:hAnsiTheme="minorEastAsia" w:eastAsiaTheme="minorEastAsia"/>
          <w:bCs/>
          <w:sz w:val="24"/>
        </w:rPr>
      </w:pPr>
    </w:p>
    <w:p w14:paraId="5D7720D4">
      <w:pPr>
        <w:spacing w:line="480" w:lineRule="exact"/>
        <w:jc w:val="center"/>
        <w:rPr>
          <w:rFonts w:cs="仿宋" w:asciiTheme="minorEastAsia" w:hAnsiTheme="minorEastAsia" w:eastAsiaTheme="minorEastAsia"/>
          <w:bCs/>
          <w:sz w:val="24"/>
        </w:rPr>
      </w:pPr>
    </w:p>
    <w:p w14:paraId="3F246A8A">
      <w:pPr>
        <w:spacing w:line="480" w:lineRule="exact"/>
        <w:jc w:val="center"/>
        <w:rPr>
          <w:rFonts w:cs="仿宋" w:asciiTheme="minorEastAsia" w:hAnsiTheme="minorEastAsia" w:eastAsiaTheme="minorEastAsia"/>
          <w:bCs/>
          <w:sz w:val="24"/>
        </w:rPr>
      </w:pPr>
    </w:p>
    <w:p w14:paraId="1E8CD452">
      <w:pPr>
        <w:spacing w:line="480" w:lineRule="exact"/>
        <w:jc w:val="center"/>
        <w:rPr>
          <w:rFonts w:cs="仿宋" w:asciiTheme="minorEastAsia" w:hAnsiTheme="minorEastAsia" w:eastAsiaTheme="minorEastAsia"/>
          <w:bCs/>
          <w:sz w:val="24"/>
        </w:rPr>
      </w:pPr>
    </w:p>
    <w:p w14:paraId="2F97915E">
      <w:pPr>
        <w:spacing w:line="480" w:lineRule="exact"/>
        <w:jc w:val="center"/>
        <w:rPr>
          <w:rFonts w:cs="仿宋" w:asciiTheme="minorEastAsia" w:hAnsiTheme="minorEastAsia" w:eastAsiaTheme="minorEastAsia"/>
          <w:bCs/>
          <w:sz w:val="24"/>
        </w:rPr>
      </w:pPr>
    </w:p>
    <w:p w14:paraId="49A80D31">
      <w:pPr>
        <w:spacing w:line="480" w:lineRule="exact"/>
        <w:jc w:val="center"/>
        <w:rPr>
          <w:rFonts w:cs="仿宋" w:asciiTheme="minorEastAsia" w:hAnsiTheme="minorEastAsia" w:eastAsiaTheme="minorEastAsia"/>
          <w:bCs/>
          <w:sz w:val="24"/>
        </w:rPr>
      </w:pPr>
    </w:p>
    <w:p w14:paraId="75D17B61">
      <w:pPr>
        <w:spacing w:line="480" w:lineRule="exact"/>
        <w:jc w:val="center"/>
        <w:rPr>
          <w:rFonts w:cs="仿宋" w:asciiTheme="minorEastAsia" w:hAnsiTheme="minorEastAsia" w:eastAsiaTheme="minorEastAsia"/>
          <w:bCs/>
          <w:sz w:val="24"/>
        </w:rPr>
      </w:pPr>
    </w:p>
    <w:p w14:paraId="74033D2A">
      <w:pPr>
        <w:spacing w:line="480" w:lineRule="exact"/>
        <w:jc w:val="center"/>
        <w:rPr>
          <w:rFonts w:cs="仿宋" w:asciiTheme="minorEastAsia" w:hAnsiTheme="minorEastAsia" w:eastAsiaTheme="minorEastAsia"/>
          <w:bCs/>
          <w:sz w:val="24"/>
        </w:rPr>
      </w:pPr>
    </w:p>
    <w:p w14:paraId="7AB92AA9">
      <w:pPr>
        <w:spacing w:line="480" w:lineRule="exact"/>
        <w:jc w:val="center"/>
        <w:rPr>
          <w:rFonts w:cs="仿宋" w:asciiTheme="minorEastAsia" w:hAnsiTheme="minorEastAsia" w:eastAsiaTheme="minorEastAsia"/>
          <w:bCs/>
          <w:sz w:val="24"/>
        </w:rPr>
      </w:pPr>
    </w:p>
    <w:p w14:paraId="234D0120">
      <w:pPr>
        <w:spacing w:line="480" w:lineRule="exact"/>
        <w:jc w:val="center"/>
        <w:rPr>
          <w:rFonts w:cs="仿宋" w:asciiTheme="minorEastAsia" w:hAnsiTheme="minorEastAsia" w:eastAsiaTheme="minorEastAsia"/>
          <w:bCs/>
          <w:sz w:val="24"/>
        </w:rPr>
      </w:pPr>
    </w:p>
    <w:p w14:paraId="11D1A27A">
      <w:pPr>
        <w:spacing w:line="480" w:lineRule="exact"/>
        <w:ind w:firstLine="482" w:firstLineChars="200"/>
        <w:jc w:val="center"/>
        <w:rPr>
          <w:rFonts w:cs="仿宋" w:asciiTheme="minorEastAsia" w:hAnsiTheme="minorEastAsia" w:eastAsiaTheme="minorEastAsia"/>
          <w:b/>
          <w:bCs/>
          <w:sz w:val="24"/>
        </w:rPr>
      </w:pPr>
      <w:r>
        <w:rPr>
          <w:rFonts w:hint="eastAsia" w:cs="仿宋" w:asciiTheme="minorEastAsia" w:hAnsiTheme="minorEastAsia" w:eastAsiaTheme="minorEastAsia"/>
          <w:b/>
          <w:bCs/>
          <w:sz w:val="24"/>
        </w:rPr>
        <w:t>二、 通用条款</w:t>
      </w:r>
    </w:p>
    <w:p w14:paraId="55E61781">
      <w:pPr>
        <w:pStyle w:val="18"/>
        <w:spacing w:line="480" w:lineRule="exact"/>
        <w:rPr>
          <w:rFonts w:cs="仿宋" w:asciiTheme="minorEastAsia" w:hAnsiTheme="minorEastAsia" w:eastAsiaTheme="minorEastAsia"/>
          <w:b w:val="0"/>
          <w:bCs/>
          <w:sz w:val="24"/>
          <w:szCs w:val="24"/>
        </w:rPr>
      </w:pPr>
    </w:p>
    <w:p w14:paraId="61276FF2">
      <w:pPr>
        <w:pStyle w:val="18"/>
        <w:spacing w:line="480" w:lineRule="exact"/>
        <w:jc w:val="left"/>
        <w:rPr>
          <w:rFonts w:cs="仿宋" w:asciiTheme="minorEastAsia" w:hAnsiTheme="minorEastAsia" w:eastAsiaTheme="minorEastAsia"/>
          <w:b w:val="0"/>
          <w:bCs/>
          <w:sz w:val="24"/>
          <w:szCs w:val="24"/>
        </w:rPr>
      </w:pPr>
      <w:r>
        <w:rPr>
          <w:rFonts w:hint="eastAsia" w:cs="仿宋" w:asciiTheme="minorEastAsia" w:hAnsiTheme="minorEastAsia" w:eastAsiaTheme="minorEastAsia"/>
          <w:b w:val="0"/>
          <w:bCs/>
          <w:sz w:val="24"/>
          <w:szCs w:val="24"/>
        </w:rPr>
        <w:t>详见《陕西省建设工程施工合同》（示范文本）的合同通用条款。</w:t>
      </w:r>
    </w:p>
    <w:p w14:paraId="73ACDD5E">
      <w:pPr>
        <w:pStyle w:val="18"/>
        <w:spacing w:line="480" w:lineRule="exact"/>
        <w:rPr>
          <w:rFonts w:cs="仿宋" w:asciiTheme="minorEastAsia" w:hAnsiTheme="minorEastAsia" w:eastAsiaTheme="minorEastAsia"/>
          <w:b w:val="0"/>
          <w:bCs/>
          <w:sz w:val="24"/>
          <w:szCs w:val="24"/>
        </w:rPr>
      </w:pPr>
      <w:r>
        <w:rPr>
          <w:rFonts w:hint="eastAsia" w:cs="仿宋" w:asciiTheme="minorEastAsia" w:hAnsiTheme="minorEastAsia" w:eastAsiaTheme="minorEastAsia"/>
          <w:b w:val="0"/>
          <w:bCs/>
          <w:sz w:val="24"/>
          <w:szCs w:val="24"/>
        </w:rPr>
        <w:t>本文件略。</w:t>
      </w:r>
    </w:p>
    <w:p w14:paraId="272C2761">
      <w:pPr>
        <w:spacing w:line="480" w:lineRule="exact"/>
        <w:ind w:firstLine="482" w:firstLineChars="200"/>
        <w:jc w:val="center"/>
        <w:rPr>
          <w:rFonts w:cs="仿宋" w:asciiTheme="minorEastAsia" w:hAnsiTheme="minorEastAsia" w:eastAsiaTheme="minorEastAsia"/>
          <w:b/>
          <w:bCs/>
          <w:sz w:val="24"/>
        </w:rPr>
      </w:pPr>
      <w:r>
        <w:rPr>
          <w:rFonts w:hint="eastAsia" w:cs="仿宋" w:asciiTheme="minorEastAsia" w:hAnsiTheme="minorEastAsia" w:eastAsiaTheme="minorEastAsia"/>
          <w:b/>
          <w:bCs/>
          <w:sz w:val="24"/>
        </w:rPr>
        <w:t>三、专用条款</w:t>
      </w:r>
    </w:p>
    <w:p w14:paraId="11755747">
      <w:pPr>
        <w:pStyle w:val="17"/>
        <w:spacing w:line="480" w:lineRule="exact"/>
        <w:ind w:firstLine="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（一）、词语定义及合同文件</w:t>
      </w:r>
    </w:p>
    <w:p w14:paraId="1974F13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1、合同文件及解释顺序</w:t>
      </w:r>
    </w:p>
    <w:p w14:paraId="04676B3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合同文件及解释顺序：执行《通用条款》第2.1条款</w:t>
      </w:r>
    </w:p>
    <w:p w14:paraId="34BE6218">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2、语言文字和适用法律、标准及规范</w:t>
      </w:r>
    </w:p>
    <w:p w14:paraId="1EB125E8">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 本合同只使用汉语。</w:t>
      </w:r>
    </w:p>
    <w:p w14:paraId="48F68266">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2.2 适用法律、法规：</w:t>
      </w:r>
      <w:r>
        <w:rPr>
          <w:rFonts w:hint="eastAsia" w:cs="仿宋" w:asciiTheme="minorEastAsia" w:hAnsiTheme="minorEastAsia" w:eastAsiaTheme="minorEastAsia"/>
          <w:bCs/>
          <w:sz w:val="24"/>
          <w:lang w:val="zh-CN"/>
        </w:rPr>
        <w:t>《中华人民共和国建筑法》、《中华人民共和国政府采购法》、《中华人民共和国民法典》。</w:t>
      </w:r>
    </w:p>
    <w:p w14:paraId="4078089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2.3 适用标准、规范</w:t>
      </w:r>
    </w:p>
    <w:p w14:paraId="6919A47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适用标准、规范的名称：</w:t>
      </w:r>
      <w:r>
        <w:rPr>
          <w:rFonts w:hint="eastAsia" w:cs="仿宋" w:asciiTheme="minorEastAsia" w:hAnsiTheme="minorEastAsia" w:eastAsiaTheme="minorEastAsia"/>
          <w:bCs/>
          <w:sz w:val="24"/>
          <w:szCs w:val="24"/>
          <w:lang w:val="zh-CN"/>
        </w:rPr>
        <w:t>执行国家建筑工程施工及验收规范标准以及材料、设备所涉及的现行国家、省、市或行业的工程建设标准、规范的要求。</w:t>
      </w:r>
    </w:p>
    <w:p w14:paraId="7FB66F3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发包人提供标准、规范的时间：</w:t>
      </w:r>
      <w:r>
        <w:rPr>
          <w:rFonts w:hint="eastAsia" w:cs="仿宋" w:asciiTheme="minorEastAsia" w:hAnsiTheme="minorEastAsia" w:eastAsiaTheme="minorEastAsia"/>
          <w:bCs/>
          <w:sz w:val="24"/>
          <w:szCs w:val="24"/>
          <w:lang w:val="zh-CN"/>
        </w:rPr>
        <w:t>按生产企业在技术监督局的备案标准、并经监理工程师和业主同意。</w:t>
      </w:r>
    </w:p>
    <w:p w14:paraId="3F3244B9">
      <w:pPr>
        <w:spacing w:line="480" w:lineRule="exact"/>
        <w:rPr>
          <w:rFonts w:cs="仿宋" w:asciiTheme="minorEastAsia" w:hAnsiTheme="minorEastAsia" w:eastAsiaTheme="minorEastAsia"/>
          <w:bCs/>
          <w:sz w:val="24"/>
        </w:rPr>
      </w:pPr>
      <w:r>
        <w:rPr>
          <w:rFonts w:hint="eastAsia" w:cs="仿宋" w:asciiTheme="minorEastAsia" w:hAnsiTheme="minorEastAsia" w:eastAsiaTheme="minorEastAsia"/>
          <w:bCs/>
          <w:sz w:val="24"/>
        </w:rPr>
        <w:t xml:space="preserve">    国内没有相应标准、规范时的约定：                               </w:t>
      </w:r>
    </w:p>
    <w:p w14:paraId="0B747041">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3、图纸</w:t>
      </w:r>
    </w:p>
    <w:p w14:paraId="153530A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3.1发包人向承包人提供图纸日期和套数：                           </w:t>
      </w:r>
    </w:p>
    <w:p w14:paraId="62D7B4F9">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rPr>
        <w:t>发包人对图纸的保密要求：</w:t>
      </w:r>
      <w:r>
        <w:rPr>
          <w:rFonts w:hint="eastAsia" w:cs="仿宋" w:asciiTheme="minorEastAsia" w:hAnsiTheme="minorEastAsia" w:eastAsiaTheme="minorEastAsia"/>
          <w:bCs/>
          <w:sz w:val="24"/>
          <w:lang w:val="zh-CN"/>
        </w:rPr>
        <w:t>不得外传、外借，仅用于本工程的施工及验收的全过程。</w:t>
      </w:r>
    </w:p>
    <w:p w14:paraId="40ACCB4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使用国外图纸的要求及费用承担：                                  </w:t>
      </w:r>
    </w:p>
    <w:p w14:paraId="7B3E66DF">
      <w:pPr>
        <w:pStyle w:val="17"/>
        <w:spacing w:line="480" w:lineRule="exact"/>
        <w:ind w:firstLine="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（二）双方一般权利和义务</w:t>
      </w:r>
    </w:p>
    <w:p w14:paraId="47E457A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4、工程师</w:t>
      </w:r>
    </w:p>
    <w:p w14:paraId="428D9D9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4.1 监理单位委派的工程师</w:t>
      </w:r>
    </w:p>
    <w:p w14:paraId="084F58DE">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姓名：            职务：          </w:t>
      </w:r>
    </w:p>
    <w:p w14:paraId="23F3766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发包人委托的职权：</w:t>
      </w:r>
      <w:r>
        <w:rPr>
          <w:rFonts w:hint="eastAsia" w:cs="仿宋" w:asciiTheme="minorEastAsia" w:hAnsiTheme="minorEastAsia" w:eastAsiaTheme="minorEastAsia"/>
          <w:bCs/>
          <w:sz w:val="24"/>
          <w:szCs w:val="24"/>
          <w:lang w:val="zh-CN"/>
        </w:rPr>
        <w:t>按照发包方与监理单位签订的“监理合同”中约定的发包方授权和委托，对本工程施工过程的质量、安全、进度控制、合同管理和信息管理，施工中各种矛盾组织协调工作及全程监理。</w:t>
      </w:r>
    </w:p>
    <w:p w14:paraId="3087B511">
      <w:pPr>
        <w:spacing w:line="480" w:lineRule="exact"/>
        <w:ind w:firstLine="480"/>
        <w:rPr>
          <w:rFonts w:cs="仿宋" w:asciiTheme="minorEastAsia" w:hAnsiTheme="minorEastAsia" w:eastAsiaTheme="minorEastAsia"/>
          <w:bCs/>
          <w:sz w:val="24"/>
        </w:rPr>
      </w:pPr>
      <w:r>
        <w:rPr>
          <w:rFonts w:hint="eastAsia" w:cs="仿宋" w:asciiTheme="minorEastAsia" w:hAnsiTheme="minorEastAsia" w:eastAsiaTheme="minorEastAsia"/>
          <w:bCs/>
          <w:sz w:val="24"/>
        </w:rPr>
        <w:t>需要取得发包人批准才能行使的职权：</w:t>
      </w:r>
      <w:r>
        <w:rPr>
          <w:rFonts w:hint="eastAsia" w:cs="仿宋" w:asciiTheme="minorEastAsia" w:hAnsiTheme="minorEastAsia" w:eastAsiaTheme="minorEastAsia"/>
          <w:bCs/>
          <w:sz w:val="24"/>
          <w:lang w:val="zh-CN"/>
        </w:rPr>
        <w:t>重大工程洽商、设计变更、发包人指定价的认质认价等在决策之前需经业主同意。</w:t>
      </w:r>
    </w:p>
    <w:p w14:paraId="2932623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4.2 发包人派驻的工地代表</w:t>
      </w:r>
    </w:p>
    <w:p w14:paraId="446734BC">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 xml:space="preserve">姓名：         职务：          </w:t>
      </w:r>
    </w:p>
    <w:p w14:paraId="11900259">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职权：负责重大工程洽商、设计变更、发包人指定价的认质认价、施工全过程内、外部关系协调、处理往来文件，对工程进度、质量、造价进行管理。</w:t>
      </w:r>
    </w:p>
    <w:p w14:paraId="35C003DD">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不实行监理的，工地代表的职权： 工程师有权反对和要求承包人从该项目上立即解除在工地代表看来行为不端、不能胜任工作或玩忽职守。</w:t>
      </w:r>
    </w:p>
    <w:p w14:paraId="4132D11A">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 5、项目经理</w:t>
      </w:r>
    </w:p>
    <w:p w14:paraId="0F73365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姓名：              资质：              </w:t>
      </w:r>
    </w:p>
    <w:p w14:paraId="23F9410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6、发包人工作</w:t>
      </w:r>
    </w:p>
    <w:p w14:paraId="43D42D07">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6.1发包人应按约定的时间和要求完成以下工作：</w:t>
      </w:r>
    </w:p>
    <w:p w14:paraId="421755B3">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（1）施工场地具备施工条件的要求及完成的时间：工程开工前5日内。</w:t>
      </w:r>
    </w:p>
    <w:p w14:paraId="6B596EA5">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2）将施工所需的水、电、电讯线路接至施工场地的时间、地点和供应要求：执行《通用条款》8.1.（2）款。将水、电引至施工现场。安装电表，供电线路由施工单位安装并向发包人交纳水、电费。其计量和计价方法为：按供水、供电管理部门公布的收费标准及公摊损耗量由施工单位全额缴纳。</w:t>
      </w:r>
    </w:p>
    <w:p w14:paraId="5AF4DF97">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（3）施工场地与公共道路的通道开通时间和要求：工程开工前 5日内。</w:t>
      </w:r>
    </w:p>
    <w:p w14:paraId="12B52FB6">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 xml:space="preserve">（4）工程地质和地下管线资料的提供时间：工程开工前5日内。 </w:t>
      </w:r>
    </w:p>
    <w:p w14:paraId="370A46A3">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（5）由发包人办理的施工所需证件、批件的名称和完成时间：工程开工前5日内。</w:t>
      </w:r>
    </w:p>
    <w:p w14:paraId="30266AF6">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（6）水准点与座标控制点交验要求：执行《通用条款》8.1.（6）款。</w:t>
      </w:r>
    </w:p>
    <w:p w14:paraId="1E8C75CE">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（7）图纸会审和设计交底时间：工程开工前 5日内。</w:t>
      </w:r>
    </w:p>
    <w:p w14:paraId="4ADD120C">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（8）协调处理施工场地周围地下管线和邻近建筑物、构筑物（含文物保护建筑）、古树名木的保护工作：由发包人负责保护。</w:t>
      </w:r>
    </w:p>
    <w:p w14:paraId="239A6FDD">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lang w:val="zh-CN"/>
        </w:rPr>
        <w:t>（9）双方约定发包人应做的其他工作：无</w:t>
      </w:r>
    </w:p>
    <w:p w14:paraId="63ADBB3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6.2发包人委托承包人办理的</w:t>
      </w:r>
      <w:r>
        <w:rPr>
          <w:rFonts w:hint="eastAsia" w:cs="仿宋" w:asciiTheme="minorEastAsia" w:hAnsiTheme="minorEastAsia" w:eastAsiaTheme="minorEastAsia"/>
          <w:bCs/>
          <w:sz w:val="24"/>
          <w:szCs w:val="24"/>
          <w:lang w:val="zh-CN"/>
        </w:rPr>
        <w:t xml:space="preserve">工作：配合发包人办理施工许可证、质量监督等手续。                        </w:t>
      </w:r>
    </w:p>
    <w:p w14:paraId="69CE645F">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7、承包人工作</w:t>
      </w:r>
    </w:p>
    <w:p w14:paraId="22EC995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承包人应按约定时间和要求，完成以下工作：</w:t>
      </w:r>
    </w:p>
    <w:p w14:paraId="2B24FC4F">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（1）需由设计资质等级和业务范围允许的承包人完成的设计文件提交时间：无</w:t>
      </w:r>
    </w:p>
    <w:p w14:paraId="55BEAAE3">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（2）应提供计划、报表的名称及完成时间：每月1日向业主、监理单位报送 2份《通用条款》9.1.（2）款规定的报表。</w:t>
      </w:r>
    </w:p>
    <w:p w14:paraId="7540185F">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（3）承担施工安全保卫工作及非夜间施工照明的责任和要求：执行《通用条款》9.1.（3）款。</w:t>
      </w:r>
    </w:p>
    <w:p w14:paraId="048CB3F6">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（4）向发包人提供的办公和生活房屋及设施的要求：为甲方工地代表提供办公室2间，为监理工程师提供办公室2间、宿舍房1间，不配备办公家具，其费用已包含在合同价内。</w:t>
      </w:r>
    </w:p>
    <w:p w14:paraId="4C834E50">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（5）需承包人办理的有关施工场地交通、环卫和施工噪音管理等手续：执行《通用条款》9.1.（5）款。</w:t>
      </w:r>
    </w:p>
    <w:p w14:paraId="1E6A3AC6">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（6）已完工程成品保护的特殊要求及费用承担：执行《通用条款》9.1.（6）款。</w:t>
      </w:r>
    </w:p>
    <w:p w14:paraId="5655A2F2">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（7）施工场地周围地下管线和邻近建筑物、构筑物（含文物保护建筑）、古树名木的保护要求及费用承担：执行《通用条款》9.1.（7）款。</w:t>
      </w:r>
    </w:p>
    <w:p w14:paraId="42E84CD8">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（8）施工场地清洁卫生的要求：承包方式执行《通用条款》9.1.（8）款。交工前应达到工完场清条件及文明工地要求。</w:t>
      </w:r>
    </w:p>
    <w:p w14:paraId="605B839A">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lang w:val="zh-CN"/>
        </w:rPr>
        <w:t>（9）双方约定承包人应做的其他工作：无。</w:t>
      </w:r>
    </w:p>
    <w:p w14:paraId="4F691C8D">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（三）施工组织设计和工期</w:t>
      </w:r>
    </w:p>
    <w:p w14:paraId="643C5CA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8、进度计划</w:t>
      </w:r>
    </w:p>
    <w:p w14:paraId="6E51A8FD">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8.1承包人提供施工组织设计（施工方案）和进度计划的时间：</w:t>
      </w:r>
      <w:r>
        <w:rPr>
          <w:rFonts w:hint="eastAsia" w:cs="仿宋" w:asciiTheme="minorEastAsia" w:hAnsiTheme="minorEastAsia" w:eastAsiaTheme="minorEastAsia"/>
          <w:bCs/>
          <w:sz w:val="24"/>
          <w:szCs w:val="24"/>
          <w:lang w:val="zh-CN"/>
        </w:rPr>
        <w:t>开工前十日内。</w:t>
      </w:r>
    </w:p>
    <w:p w14:paraId="44851E7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工程师确认的时间： </w:t>
      </w:r>
      <w:r>
        <w:rPr>
          <w:rFonts w:hint="eastAsia" w:cs="仿宋" w:asciiTheme="minorEastAsia" w:hAnsiTheme="minorEastAsia" w:eastAsiaTheme="minorEastAsia"/>
          <w:bCs/>
          <w:sz w:val="24"/>
          <w:szCs w:val="24"/>
          <w:lang w:val="zh-CN"/>
        </w:rPr>
        <w:t>五日内。</w:t>
      </w:r>
    </w:p>
    <w:p w14:paraId="2CC2074F">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8.2群体工程中有关进度计划的要求：                                      </w:t>
      </w:r>
    </w:p>
    <w:p w14:paraId="248C0E5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9、工期延误</w:t>
      </w:r>
    </w:p>
    <w:p w14:paraId="28B1757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9.1双方约定工期顺延的其他情况： </w:t>
      </w:r>
      <w:r>
        <w:rPr>
          <w:rFonts w:hint="eastAsia" w:cs="仿宋" w:asciiTheme="minorEastAsia" w:hAnsiTheme="minorEastAsia" w:eastAsiaTheme="minorEastAsia"/>
          <w:bCs/>
          <w:sz w:val="24"/>
          <w:szCs w:val="24"/>
          <w:lang w:val="zh-CN"/>
        </w:rPr>
        <w:t>执行《通用条款》13条。工期提前无奖励。工期每推迟一天除按2000元处罚外，若影响到发包人使用时应赔偿由此给甲方造成的损失。</w:t>
      </w:r>
    </w:p>
    <w:p w14:paraId="587D726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（四）质量与验收</w:t>
      </w:r>
    </w:p>
    <w:p w14:paraId="7833DF7F">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10、隐蔽工程和中间验收</w:t>
      </w:r>
    </w:p>
    <w:p w14:paraId="0A881612">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10.1双方约定中间验收部位：                                 </w:t>
      </w:r>
    </w:p>
    <w:p w14:paraId="6DC9E81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11、工程试车</w:t>
      </w:r>
    </w:p>
    <w:p w14:paraId="5B80393A">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rPr>
        <w:t>11.1试车费用的承担：</w:t>
      </w:r>
      <w:r>
        <w:rPr>
          <w:rFonts w:hint="eastAsia" w:cs="仿宋" w:asciiTheme="minorEastAsia" w:hAnsiTheme="minorEastAsia" w:eastAsiaTheme="minorEastAsia"/>
          <w:bCs/>
          <w:sz w:val="24"/>
          <w:lang w:val="zh-CN"/>
        </w:rPr>
        <w:t xml:space="preserve">动力照明通电费、给排水、采暖及卫生设备试水费均由承包人承担。                 </w:t>
      </w:r>
    </w:p>
    <w:p w14:paraId="43C6569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（五）安全施工</w:t>
      </w:r>
    </w:p>
    <w:p w14:paraId="18CDFE1A">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（六）合同价款与支付</w:t>
      </w:r>
    </w:p>
    <w:p w14:paraId="6C6BA7A2">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12、合同价款及调整：</w:t>
      </w:r>
    </w:p>
    <w:p w14:paraId="54C108A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12.1 本合同价款采用方式确定。</w:t>
      </w:r>
    </w:p>
    <w:p w14:paraId="42AB093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12.2 </w:t>
      </w:r>
      <w:r>
        <w:rPr>
          <w:rFonts w:hint="eastAsia" w:cs="仿宋" w:asciiTheme="minorEastAsia" w:hAnsiTheme="minorEastAsia" w:eastAsiaTheme="minorEastAsia"/>
          <w:bCs/>
          <w:sz w:val="24"/>
          <w:szCs w:val="24"/>
          <w:lang w:val="zh-CN"/>
        </w:rPr>
        <w:t>综合单价中包括的风险范围：物价变化、政策调整以及有经验的供应商可以和应该预料到的其他风险。合同执行期间工程量清单中已报价的综合单价均不作调整。</w:t>
      </w:r>
    </w:p>
    <w:p w14:paraId="5890DACD">
      <w:pPr>
        <w:spacing w:line="480" w:lineRule="exact"/>
        <w:ind w:right="-86" w:firstLine="547" w:firstLineChars="228"/>
        <w:rPr>
          <w:rFonts w:cs="仿宋" w:asciiTheme="minorEastAsia" w:hAnsiTheme="minorEastAsia" w:eastAsiaTheme="minorEastAsia"/>
          <w:bCs/>
          <w:sz w:val="24"/>
          <w:lang w:val="zh-CN"/>
        </w:rPr>
      </w:pPr>
      <w:r>
        <w:rPr>
          <w:rFonts w:hint="eastAsia" w:cs="仿宋" w:asciiTheme="minorEastAsia" w:hAnsiTheme="minorEastAsia" w:eastAsiaTheme="minorEastAsia"/>
          <w:bCs/>
          <w:sz w:val="24"/>
        </w:rPr>
        <w:t>12.3</w:t>
      </w:r>
      <w:r>
        <w:rPr>
          <w:rFonts w:hint="eastAsia" w:cs="仿宋" w:asciiTheme="minorEastAsia" w:hAnsiTheme="minorEastAsia" w:eastAsiaTheme="minorEastAsia"/>
          <w:bCs/>
          <w:sz w:val="24"/>
          <w:lang w:val="zh-CN"/>
        </w:rPr>
        <w:t xml:space="preserve">双方约定合同价款的其他调整因素：执行《通用条款》27.1条 </w:t>
      </w:r>
    </w:p>
    <w:p w14:paraId="1B5C9855">
      <w:pPr>
        <w:spacing w:line="480" w:lineRule="exact"/>
        <w:ind w:right="-86" w:firstLine="547" w:firstLineChars="228"/>
        <w:rPr>
          <w:rFonts w:cs="仿宋" w:asciiTheme="minorEastAsia" w:hAnsiTheme="minorEastAsia" w:eastAsiaTheme="minorEastAsia"/>
          <w:bCs/>
          <w:sz w:val="24"/>
          <w:lang w:val="zh-CN"/>
        </w:rPr>
      </w:pPr>
      <w:r>
        <w:rPr>
          <w:rFonts w:hint="eastAsia" w:cs="仿宋" w:asciiTheme="minorEastAsia" w:hAnsiTheme="minorEastAsia" w:eastAsiaTheme="minorEastAsia"/>
          <w:bCs/>
          <w:sz w:val="24"/>
        </w:rPr>
        <w:t>12.4</w:t>
      </w:r>
      <w:r>
        <w:rPr>
          <w:rFonts w:hint="eastAsia" w:cs="仿宋" w:asciiTheme="minorEastAsia" w:hAnsiTheme="minorEastAsia" w:eastAsiaTheme="minorEastAsia"/>
          <w:bCs/>
          <w:sz w:val="24"/>
          <w:lang w:val="zh-CN"/>
        </w:rPr>
        <w:t>工程结算时，据实结算，综合单价不变，只对甲方认质认价的材料价格调正负差价，调差部分除计取税金之外不再计取任何费用。</w:t>
      </w:r>
    </w:p>
    <w:p w14:paraId="0DD86D09">
      <w:pPr>
        <w:spacing w:line="480" w:lineRule="exact"/>
        <w:ind w:firstLine="547" w:firstLineChars="228"/>
        <w:rPr>
          <w:rFonts w:cs="仿宋" w:asciiTheme="minorEastAsia" w:hAnsiTheme="minorEastAsia" w:eastAsiaTheme="minorEastAsia"/>
          <w:bCs/>
          <w:sz w:val="24"/>
        </w:rPr>
      </w:pPr>
      <w:r>
        <w:rPr>
          <w:rFonts w:hint="eastAsia" w:cs="仿宋" w:asciiTheme="minorEastAsia" w:hAnsiTheme="minorEastAsia" w:eastAsiaTheme="minorEastAsia"/>
          <w:bCs/>
          <w:sz w:val="24"/>
        </w:rPr>
        <w:t>12.5</w:t>
      </w:r>
      <w:r>
        <w:rPr>
          <w:rFonts w:hint="eastAsia" w:cs="仿宋" w:asciiTheme="minorEastAsia" w:hAnsiTheme="minorEastAsia" w:eastAsiaTheme="minorEastAsia"/>
          <w:bCs/>
          <w:sz w:val="24"/>
          <w:lang w:val="zh-CN"/>
        </w:rPr>
        <w:t>如果清单项目内的工程项目在实际施工中未进行施工或者因设计变更减少的项目，结算时按实际减少工程量或清单量和磋商预算单价扣减造价。</w:t>
      </w:r>
    </w:p>
    <w:p w14:paraId="1B0E5506">
      <w:pPr>
        <w:pStyle w:val="17"/>
        <w:spacing w:line="480" w:lineRule="exact"/>
        <w:ind w:firstLine="560"/>
        <w:rPr>
          <w:rFonts w:cs="仿宋" w:asciiTheme="minorEastAsia" w:hAnsiTheme="minorEastAsia" w:eastAsiaTheme="minorEastAsia"/>
          <w:bCs/>
          <w:sz w:val="24"/>
        </w:rPr>
      </w:pPr>
      <w:r>
        <w:rPr>
          <w:rFonts w:hint="eastAsia" w:cs="仿宋" w:asciiTheme="minorEastAsia" w:hAnsiTheme="minorEastAsia" w:eastAsiaTheme="minorEastAsia"/>
          <w:bCs/>
          <w:sz w:val="24"/>
          <w:szCs w:val="24"/>
        </w:rPr>
        <w:t>13、工程预付款：发包方与承包方自行约定</w:t>
      </w:r>
    </w:p>
    <w:p w14:paraId="23C6027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14、工程量确认</w:t>
      </w:r>
    </w:p>
    <w:p w14:paraId="09FA825E">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承包人向工程师提交已完工程量报告的时间：               </w:t>
      </w:r>
    </w:p>
    <w:p w14:paraId="39D439A8">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15、工程款（进度款）支付的方式和时间:</w:t>
      </w:r>
    </w:p>
    <w:p w14:paraId="1000E3C6">
      <w:pPr>
        <w:adjustRightInd w:val="0"/>
        <w:snapToGrid w:val="0"/>
        <w:spacing w:line="480" w:lineRule="exact"/>
        <w:ind w:firstLine="480" w:firstLineChars="200"/>
        <w:rPr>
          <w:rFonts w:cs="仿宋_GB2312" w:asciiTheme="minorEastAsia" w:hAnsiTheme="minorEastAsia" w:eastAsiaTheme="minorEastAsia"/>
          <w:sz w:val="24"/>
        </w:rPr>
      </w:pPr>
      <w:r>
        <w:rPr>
          <w:rFonts w:hint="eastAsia" w:cs="仿宋_GB2312" w:asciiTheme="minorEastAsia" w:hAnsiTheme="minorEastAsia" w:eastAsiaTheme="minorEastAsia"/>
          <w:sz w:val="24"/>
        </w:rPr>
        <w:t>15-1、</w:t>
      </w:r>
      <w:r>
        <w:rPr>
          <w:rFonts w:hint="eastAsia" w:asciiTheme="minorEastAsia" w:hAnsiTheme="minorEastAsia" w:eastAsiaTheme="minorEastAsia"/>
          <w:sz w:val="24"/>
        </w:rPr>
        <w:t>双方自行协商。</w:t>
      </w:r>
    </w:p>
    <w:p w14:paraId="0282CC49">
      <w:pPr>
        <w:tabs>
          <w:tab w:val="left" w:pos="2700"/>
        </w:tabs>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15-2、发包方对总承包方工程项目资金的使用实行监督和控制。</w:t>
      </w:r>
    </w:p>
    <w:p w14:paraId="51A31CF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（七）材料设备供应</w:t>
      </w:r>
    </w:p>
    <w:p w14:paraId="080239F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16、发包人供应材料设备</w:t>
      </w:r>
    </w:p>
    <w:p w14:paraId="61EEA633">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 xml:space="preserve">发包人供应材料设备：    </w:t>
      </w:r>
    </w:p>
    <w:p w14:paraId="505B0E3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17、承包人采购材料设备</w:t>
      </w:r>
    </w:p>
    <w:p w14:paraId="7B29EEB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承包人采购材料设备的约定：                   </w:t>
      </w:r>
    </w:p>
    <w:p w14:paraId="26088E4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（八）工程变更</w:t>
      </w:r>
    </w:p>
    <w:p w14:paraId="76726116">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18、工程设计变更：                                               </w:t>
      </w:r>
    </w:p>
    <w:p w14:paraId="001EA1B3">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（九）竣工验收与结算</w:t>
      </w:r>
    </w:p>
    <w:p w14:paraId="647B1CD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19、竣工验收</w:t>
      </w:r>
    </w:p>
    <w:p w14:paraId="40FAE0EA">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rPr>
        <w:t>19.1承包人提供竣工图的约定：</w:t>
      </w:r>
      <w:r>
        <w:rPr>
          <w:rFonts w:hint="eastAsia" w:cs="仿宋" w:asciiTheme="minorEastAsia" w:hAnsiTheme="minorEastAsia" w:eastAsiaTheme="minorEastAsia"/>
          <w:bCs/>
          <w:sz w:val="24"/>
          <w:lang w:val="zh-CN"/>
        </w:rPr>
        <w:t>竣工验收后一个月内。</w:t>
      </w:r>
    </w:p>
    <w:p w14:paraId="17306051">
      <w:pPr>
        <w:spacing w:line="480" w:lineRule="exact"/>
        <w:ind w:firstLine="480" w:firstLineChars="200"/>
        <w:rPr>
          <w:rFonts w:cs="仿宋" w:asciiTheme="minorEastAsia" w:hAnsiTheme="minorEastAsia" w:eastAsiaTheme="minorEastAsia"/>
          <w:bCs/>
          <w:sz w:val="24"/>
        </w:rPr>
      </w:pPr>
      <w:r>
        <w:rPr>
          <w:rFonts w:hint="eastAsia" w:cs="仿宋" w:asciiTheme="minorEastAsia" w:hAnsiTheme="minorEastAsia" w:eastAsiaTheme="minorEastAsia"/>
          <w:bCs/>
          <w:sz w:val="24"/>
        </w:rPr>
        <w:t>19.2中间交工工程的范围和竣工时间：</w:t>
      </w:r>
    </w:p>
    <w:p w14:paraId="4F5F2BBF">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20、竣工结算</w:t>
      </w:r>
    </w:p>
    <w:p w14:paraId="4F1F83BD">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（十）违约、索赔和争议</w:t>
      </w:r>
    </w:p>
    <w:p w14:paraId="0F75F18D">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21、违约</w:t>
      </w:r>
    </w:p>
    <w:p w14:paraId="075D47D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21.1本合同中关于发包人违约的具体责任如下：</w:t>
      </w:r>
    </w:p>
    <w:p w14:paraId="21F18B1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本合同通用条款第24条约定发包人违约应承担的违约责任：</w:t>
      </w:r>
    </w:p>
    <w:p w14:paraId="5E94A7DF">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lang w:val="zh-CN"/>
        </w:rPr>
        <w:t>本合同通用条款第28.1条约定发包人违约应承担的违约责任：执行《通用条款》28.1款；</w:t>
      </w:r>
    </w:p>
    <w:p w14:paraId="65022A8A">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本合同通用条款第30.5款约定发包人违约应承担的违约责任：执行《通用条款》30.5款；</w:t>
      </w:r>
    </w:p>
    <w:p w14:paraId="2955BA06">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 xml:space="preserve">本合同通用条款第37.6款约定发包人违约应承担的违约责任：执行《通用条款》37.6款； </w:t>
      </w:r>
    </w:p>
    <w:p w14:paraId="594CE9C7">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rPr>
        <w:t xml:space="preserve"> 双方约定的发包人其他违约责任：无。</w:t>
      </w:r>
    </w:p>
    <w:p w14:paraId="6C7B40DA">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rPr>
        <w:t>21.2本合同中关于承包人违约的具体责任如下：</w:t>
      </w:r>
    </w:p>
    <w:p w14:paraId="565F57A9">
      <w:pPr>
        <w:spacing w:line="480" w:lineRule="exact"/>
        <w:ind w:right="-86" w:firstLine="420"/>
        <w:rPr>
          <w:rFonts w:cs="仿宋" w:asciiTheme="minorEastAsia" w:hAnsiTheme="minorEastAsia" w:eastAsiaTheme="minorEastAsia"/>
          <w:bCs/>
          <w:sz w:val="24"/>
          <w:lang w:val="zh-CN"/>
        </w:rPr>
      </w:pPr>
      <w:r>
        <w:rPr>
          <w:rFonts w:hint="eastAsia" w:cs="仿宋" w:asciiTheme="minorEastAsia" w:hAnsiTheme="minorEastAsia" w:eastAsiaTheme="minorEastAsia"/>
          <w:bCs/>
          <w:sz w:val="24"/>
          <w:lang w:val="zh-CN"/>
        </w:rPr>
        <w:t>本合同通用条款第14.2款约定承包人违约承担的违约责任：乙方工期每推迟一天除按2000元处罚外，若影响发包人使用时，应另赔偿由此给甲方造成的损失，赔偿限额为合同价的5%。</w:t>
      </w:r>
    </w:p>
    <w:p w14:paraId="5F820E6B">
      <w:pPr>
        <w:spacing w:line="480" w:lineRule="exact"/>
        <w:ind w:right="-86" w:firstLine="420"/>
        <w:rPr>
          <w:rFonts w:cs="仿宋" w:asciiTheme="minorEastAsia" w:hAnsiTheme="minorEastAsia" w:eastAsiaTheme="minorEastAsia"/>
          <w:bCs/>
          <w:sz w:val="24"/>
        </w:rPr>
      </w:pPr>
      <w:r>
        <w:rPr>
          <w:rFonts w:hint="eastAsia" w:cs="仿宋" w:asciiTheme="minorEastAsia" w:hAnsiTheme="minorEastAsia" w:eastAsiaTheme="minorEastAsia"/>
          <w:bCs/>
          <w:sz w:val="24"/>
          <w:lang w:val="zh-CN"/>
        </w:rPr>
        <w:t>本合同通用条款第15.1款约定承包人违约应承担的违约责任：承包方按合同价的2%承担违约金外，另按国务院279号令有关规定处理。</w:t>
      </w:r>
    </w:p>
    <w:p w14:paraId="149DD08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双方约定的承包人其他违约责任：无。</w:t>
      </w:r>
    </w:p>
    <w:p w14:paraId="641FEC66">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rPr>
        <w:t>22、争议</w:t>
      </w:r>
    </w:p>
    <w:p w14:paraId="1072B359">
      <w:pPr>
        <w:pStyle w:val="17"/>
        <w:spacing w:line="480" w:lineRule="exact"/>
        <w:ind w:firstLine="1036" w:firstLineChars="432"/>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双方约定，在履行合同过程中产生争议时可依法以下一种方式解决：</w:t>
      </w:r>
    </w:p>
    <w:p w14:paraId="32D4B123">
      <w:pPr>
        <w:autoSpaceDN w:val="0"/>
        <w:adjustRightInd w:val="0"/>
        <w:spacing w:line="480" w:lineRule="exact"/>
        <w:ind w:firstLine="480" w:firstLineChars="200"/>
        <w:rPr>
          <w:rFonts w:asciiTheme="minorEastAsia" w:hAnsiTheme="minorEastAsia" w:eastAsiaTheme="minorEastAsia"/>
          <w:kern w:val="0"/>
          <w:sz w:val="24"/>
        </w:rPr>
      </w:pPr>
      <w:r>
        <w:rPr>
          <w:rFonts w:hint="eastAsia" w:asciiTheme="minorEastAsia" w:hAnsiTheme="minorEastAsia" w:eastAsiaTheme="minorEastAsia"/>
          <w:kern w:val="0"/>
          <w:sz w:val="24"/>
        </w:rPr>
        <w:t>21.1、双方达成仲裁协议，向约定的仲裁委员会申请仲裁。</w:t>
      </w:r>
    </w:p>
    <w:p w14:paraId="452AB2D9">
      <w:pPr>
        <w:autoSpaceDN w:val="0"/>
        <w:adjustRightInd w:val="0"/>
        <w:spacing w:line="480" w:lineRule="exact"/>
        <w:ind w:firstLine="480" w:firstLineChars="200"/>
        <w:rPr>
          <w:rFonts w:asciiTheme="minorEastAsia" w:hAnsiTheme="minorEastAsia" w:eastAsiaTheme="minorEastAsia"/>
          <w:kern w:val="0"/>
          <w:sz w:val="24"/>
        </w:rPr>
      </w:pPr>
      <w:r>
        <w:rPr>
          <w:rFonts w:hint="eastAsia" w:asciiTheme="minorEastAsia" w:hAnsiTheme="minorEastAsia" w:eastAsiaTheme="minorEastAsia"/>
          <w:kern w:val="0"/>
          <w:sz w:val="24"/>
        </w:rPr>
        <w:t>21.2、向有管辖权的人民法院起诉。</w:t>
      </w:r>
    </w:p>
    <w:p w14:paraId="02ABEDA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（十一）其他</w:t>
      </w:r>
    </w:p>
    <w:p w14:paraId="0D0FF09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23、工程分包</w:t>
      </w:r>
    </w:p>
    <w:p w14:paraId="530A0FDB">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23.1本工程发包人同意承包人分包的工程： /。    </w:t>
      </w:r>
    </w:p>
    <w:p w14:paraId="21ADD53A">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23.2分包施工单位为： /。   </w:t>
      </w:r>
    </w:p>
    <w:p w14:paraId="176520A5">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24、不可抗力</w:t>
      </w:r>
    </w:p>
    <w:p w14:paraId="7C75D219">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双方关于不可抗力的约定： </w:t>
      </w:r>
      <w:r>
        <w:rPr>
          <w:rFonts w:hint="eastAsia" w:cs="仿宋" w:asciiTheme="minorEastAsia" w:hAnsiTheme="minorEastAsia" w:eastAsiaTheme="minorEastAsia"/>
          <w:sz w:val="24"/>
          <w:szCs w:val="24"/>
          <w:u w:val="single"/>
          <w:lang w:val="zh-CN"/>
        </w:rPr>
        <w:t>执行《通用条款》第43条</w:t>
      </w:r>
      <w:r>
        <w:rPr>
          <w:rFonts w:hint="eastAsia" w:cs="仿宋" w:asciiTheme="minorEastAsia" w:hAnsiTheme="minorEastAsia" w:eastAsiaTheme="minorEastAsia"/>
          <w:sz w:val="24"/>
          <w:szCs w:val="24"/>
          <w:lang w:val="zh-CN"/>
        </w:rPr>
        <w:t>。</w:t>
      </w:r>
    </w:p>
    <w:p w14:paraId="7EEA5800">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25、保险</w:t>
      </w:r>
    </w:p>
    <w:p w14:paraId="78DD193C">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25.1运至施工场地内用于工程的材料和待安装设备，由承包人办理保险，并支付保险费用。</w:t>
      </w:r>
    </w:p>
    <w:p w14:paraId="5CA3DEC8">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26、担保</w:t>
      </w:r>
    </w:p>
    <w:p w14:paraId="38448A14">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本工程双方约定担保事项如下：</w:t>
      </w:r>
    </w:p>
    <w:p w14:paraId="34A45192">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（1）发包人向承包人提供履约担保，担保方式为：        </w:t>
      </w:r>
    </w:p>
    <w:p w14:paraId="525EBC3E">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（2）承包人向发包人提供履约担保，担保方式为：       </w:t>
      </w:r>
    </w:p>
    <w:p w14:paraId="4D174BF3">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（3）双方约定的其他担保事项：        </w:t>
      </w:r>
    </w:p>
    <w:p w14:paraId="75524A23">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27、合同份数</w:t>
      </w:r>
    </w:p>
    <w:p w14:paraId="35F6D7CA">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双方约定合同副本份数：</w:t>
      </w:r>
      <w:r>
        <w:rPr>
          <w:rFonts w:hint="eastAsia" w:cs="仿宋" w:asciiTheme="minorEastAsia" w:hAnsiTheme="minorEastAsia" w:eastAsiaTheme="minorEastAsia"/>
          <w:bCs/>
          <w:sz w:val="24"/>
          <w:szCs w:val="24"/>
          <w:lang w:val="zh-CN"/>
        </w:rPr>
        <w:t>正本两份，副本拾份；发、承包双方各持正本壹份、副本承包方肆份，发包方陆份。</w:t>
      </w:r>
    </w:p>
    <w:p w14:paraId="28D0E142">
      <w:pPr>
        <w:pStyle w:val="17"/>
        <w:spacing w:line="480" w:lineRule="exact"/>
        <w:ind w:firstLine="560"/>
        <w:rPr>
          <w:rFonts w:cs="仿宋" w:asciiTheme="minorEastAsia" w:hAnsiTheme="minorEastAsia" w:eastAsiaTheme="minorEastAsia"/>
          <w:bCs/>
          <w:sz w:val="24"/>
          <w:szCs w:val="24"/>
        </w:rPr>
      </w:pPr>
      <w:r>
        <w:rPr>
          <w:rFonts w:hint="eastAsia" w:cs="仿宋" w:asciiTheme="minorEastAsia" w:hAnsiTheme="minorEastAsia" w:eastAsiaTheme="minorEastAsia"/>
          <w:bCs/>
          <w:sz w:val="24"/>
          <w:szCs w:val="24"/>
        </w:rPr>
        <w:t xml:space="preserve">28、其他要求： </w:t>
      </w:r>
    </w:p>
    <w:p w14:paraId="24680CAC">
      <w:pPr>
        <w:pStyle w:val="17"/>
        <w:spacing w:line="480" w:lineRule="exact"/>
        <w:ind w:firstLine="120" w:firstLineChars="5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附件1：承包人承揽工程项目一览表</w:t>
      </w:r>
    </w:p>
    <w:p w14:paraId="6F53F30E">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附件2：发包人供应材料设备一览表</w:t>
      </w:r>
    </w:p>
    <w:p w14:paraId="16BC2F44">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 xml:space="preserve">附件3：工程质量保修书 </w:t>
      </w:r>
    </w:p>
    <w:p w14:paraId="1E28EDF7">
      <w:pPr>
        <w:pStyle w:val="17"/>
        <w:spacing w:line="480" w:lineRule="exact"/>
        <w:ind w:firstLine="560"/>
        <w:rPr>
          <w:rFonts w:cs="仿宋" w:asciiTheme="minorEastAsia" w:hAnsiTheme="minorEastAsia" w:eastAsiaTheme="minorEastAsia"/>
          <w:bCs/>
          <w:sz w:val="24"/>
          <w:szCs w:val="24"/>
          <w:lang w:val="zh-CN"/>
        </w:rPr>
      </w:pPr>
      <w:r>
        <w:rPr>
          <w:rFonts w:hint="eastAsia" w:cs="仿宋" w:asciiTheme="minorEastAsia" w:hAnsiTheme="minorEastAsia" w:eastAsiaTheme="minorEastAsia"/>
          <w:bCs/>
          <w:sz w:val="24"/>
          <w:szCs w:val="24"/>
          <w:lang w:val="zh-CN"/>
        </w:rPr>
        <w:t>附件4：民工权益保障书</w:t>
      </w:r>
    </w:p>
    <w:p w14:paraId="4FF19376">
      <w:pPr>
        <w:spacing w:line="360" w:lineRule="auto"/>
        <w:ind w:right="-86" w:firstLine="420"/>
        <w:rPr>
          <w:rFonts w:asciiTheme="minorEastAsia" w:hAnsiTheme="minorEastAsia" w:eastAsiaTheme="minorEastAsia"/>
          <w:sz w:val="24"/>
          <w:lang w:val="zh-CN"/>
        </w:rPr>
      </w:pPr>
    </w:p>
    <w:p w14:paraId="3B765F4D">
      <w:pPr>
        <w:spacing w:line="360" w:lineRule="auto"/>
        <w:ind w:right="-86" w:firstLine="420"/>
        <w:rPr>
          <w:rFonts w:asciiTheme="minorEastAsia" w:hAnsiTheme="minorEastAsia" w:eastAsiaTheme="minorEastAsia"/>
          <w:sz w:val="24"/>
          <w:lang w:val="zh-CN"/>
        </w:rPr>
      </w:pPr>
      <w:r>
        <w:rPr>
          <w:rFonts w:hint="eastAsia" w:asciiTheme="minorEastAsia" w:hAnsiTheme="minorEastAsia" w:eastAsiaTheme="minorEastAsia"/>
          <w:sz w:val="24"/>
          <w:lang w:val="zh-CN"/>
        </w:rPr>
        <w:br w:type="page"/>
      </w:r>
      <w:r>
        <w:rPr>
          <w:rFonts w:hint="eastAsia" w:asciiTheme="minorEastAsia" w:hAnsiTheme="minorEastAsia" w:eastAsiaTheme="minorEastAsia"/>
          <w:sz w:val="24"/>
          <w:lang w:val="zh-CN"/>
        </w:rPr>
        <w:t>附件1：</w:t>
      </w:r>
    </w:p>
    <w:p w14:paraId="71C8B9A5">
      <w:pPr>
        <w:spacing w:line="360" w:lineRule="auto"/>
        <w:ind w:right="-86" w:firstLine="422"/>
        <w:jc w:val="center"/>
        <w:rPr>
          <w:rFonts w:asciiTheme="minorEastAsia" w:hAnsiTheme="minorEastAsia" w:eastAsiaTheme="minorEastAsia"/>
          <w:b/>
          <w:sz w:val="24"/>
          <w:lang w:val="zh-CN"/>
        </w:rPr>
      </w:pPr>
      <w:r>
        <w:rPr>
          <w:rFonts w:hint="eastAsia" w:asciiTheme="minorEastAsia" w:hAnsiTheme="minorEastAsia" w:eastAsiaTheme="minorEastAsia"/>
          <w:b/>
          <w:sz w:val="24"/>
          <w:lang w:val="zh-CN"/>
        </w:rPr>
        <w:t>承包人承揽工程项目一览表</w:t>
      </w:r>
    </w:p>
    <w:p w14:paraId="2CC331C9">
      <w:pPr>
        <w:spacing w:line="360" w:lineRule="auto"/>
        <w:ind w:right="-86" w:firstLine="420"/>
        <w:jc w:val="center"/>
        <w:rPr>
          <w:rFonts w:asciiTheme="minorEastAsia" w:hAnsiTheme="minorEastAsia" w:eastAsiaTheme="minorEastAsia"/>
          <w:sz w:val="24"/>
          <w:lang w:val="zh-CN"/>
        </w:rPr>
      </w:pPr>
    </w:p>
    <w:tbl>
      <w:tblPr>
        <w:tblStyle w:val="12"/>
        <w:tblW w:w="0" w:type="auto"/>
        <w:jc w:val="center"/>
        <w:tblLayout w:type="fixed"/>
        <w:tblCellMar>
          <w:top w:w="0" w:type="dxa"/>
          <w:left w:w="10" w:type="dxa"/>
          <w:bottom w:w="0" w:type="dxa"/>
          <w:right w:w="10" w:type="dxa"/>
        </w:tblCellMar>
      </w:tblPr>
      <w:tblGrid>
        <w:gridCol w:w="1678"/>
        <w:gridCol w:w="590"/>
        <w:gridCol w:w="544"/>
        <w:gridCol w:w="567"/>
        <w:gridCol w:w="567"/>
        <w:gridCol w:w="992"/>
        <w:gridCol w:w="1650"/>
        <w:gridCol w:w="1260"/>
        <w:gridCol w:w="857"/>
        <w:gridCol w:w="809"/>
      </w:tblGrid>
      <w:tr w14:paraId="66240D57">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4DA0A98C">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单位工程名称</w:t>
            </w:r>
          </w:p>
        </w:tc>
        <w:tc>
          <w:tcPr>
            <w:tcW w:w="590" w:type="dxa"/>
            <w:tcBorders>
              <w:top w:val="single" w:color="auto" w:sz="6" w:space="0"/>
              <w:left w:val="single" w:color="auto" w:sz="6" w:space="0"/>
              <w:bottom w:val="single" w:color="auto" w:sz="6" w:space="0"/>
              <w:right w:val="single" w:color="auto" w:sz="6" w:space="0"/>
            </w:tcBorders>
            <w:vAlign w:val="center"/>
          </w:tcPr>
          <w:p w14:paraId="4CEBBC79">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建设</w:t>
            </w:r>
          </w:p>
          <w:p w14:paraId="5DEAF1DB">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规模</w:t>
            </w:r>
          </w:p>
        </w:tc>
        <w:tc>
          <w:tcPr>
            <w:tcW w:w="544" w:type="dxa"/>
            <w:tcBorders>
              <w:top w:val="single" w:color="auto" w:sz="6" w:space="0"/>
              <w:left w:val="single" w:color="auto" w:sz="6" w:space="0"/>
              <w:bottom w:val="single" w:color="auto" w:sz="6" w:space="0"/>
              <w:right w:val="single" w:color="auto" w:sz="6" w:space="0"/>
            </w:tcBorders>
            <w:vAlign w:val="center"/>
          </w:tcPr>
          <w:p w14:paraId="2A5D5E81">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建筑</w:t>
            </w:r>
          </w:p>
          <w:p w14:paraId="6263D078">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面积</w:t>
            </w:r>
          </w:p>
        </w:tc>
        <w:tc>
          <w:tcPr>
            <w:tcW w:w="567" w:type="dxa"/>
            <w:tcBorders>
              <w:top w:val="single" w:color="auto" w:sz="6" w:space="0"/>
              <w:left w:val="single" w:color="auto" w:sz="6" w:space="0"/>
              <w:bottom w:val="single" w:color="auto" w:sz="6" w:space="0"/>
              <w:right w:val="single" w:color="auto" w:sz="6" w:space="0"/>
            </w:tcBorders>
            <w:vAlign w:val="center"/>
          </w:tcPr>
          <w:p w14:paraId="498FDA67">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结构</w:t>
            </w:r>
          </w:p>
        </w:tc>
        <w:tc>
          <w:tcPr>
            <w:tcW w:w="567" w:type="dxa"/>
            <w:tcBorders>
              <w:top w:val="single" w:color="auto" w:sz="6" w:space="0"/>
              <w:left w:val="single" w:color="auto" w:sz="6" w:space="0"/>
              <w:bottom w:val="single" w:color="auto" w:sz="6" w:space="0"/>
              <w:right w:val="single" w:color="auto" w:sz="6" w:space="0"/>
            </w:tcBorders>
            <w:vAlign w:val="center"/>
          </w:tcPr>
          <w:p w14:paraId="213ABD18">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层数</w:t>
            </w:r>
          </w:p>
        </w:tc>
        <w:tc>
          <w:tcPr>
            <w:tcW w:w="992" w:type="dxa"/>
            <w:tcBorders>
              <w:top w:val="single" w:color="auto" w:sz="6" w:space="0"/>
              <w:left w:val="single" w:color="auto" w:sz="6" w:space="0"/>
              <w:bottom w:val="single" w:color="auto" w:sz="6" w:space="0"/>
              <w:right w:val="single" w:color="auto" w:sz="6" w:space="0"/>
            </w:tcBorders>
            <w:vAlign w:val="center"/>
          </w:tcPr>
          <w:p w14:paraId="42377012">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跨度</w:t>
            </w:r>
          </w:p>
          <w:p w14:paraId="1093F293">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（米）</w:t>
            </w:r>
          </w:p>
        </w:tc>
        <w:tc>
          <w:tcPr>
            <w:tcW w:w="1650" w:type="dxa"/>
            <w:tcBorders>
              <w:top w:val="single" w:color="auto" w:sz="6" w:space="0"/>
              <w:left w:val="single" w:color="auto" w:sz="6" w:space="0"/>
              <w:bottom w:val="single" w:color="auto" w:sz="6" w:space="0"/>
              <w:right w:val="single" w:color="auto" w:sz="6" w:space="0"/>
            </w:tcBorders>
            <w:vAlign w:val="center"/>
          </w:tcPr>
          <w:p w14:paraId="4FD5458C">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设备安装内容</w:t>
            </w:r>
          </w:p>
        </w:tc>
        <w:tc>
          <w:tcPr>
            <w:tcW w:w="1260" w:type="dxa"/>
            <w:tcBorders>
              <w:top w:val="single" w:color="auto" w:sz="6" w:space="0"/>
              <w:left w:val="single" w:color="auto" w:sz="6" w:space="0"/>
              <w:bottom w:val="single" w:color="auto" w:sz="6" w:space="0"/>
              <w:right w:val="single" w:color="auto" w:sz="6" w:space="0"/>
            </w:tcBorders>
            <w:vAlign w:val="center"/>
          </w:tcPr>
          <w:p w14:paraId="1EBB63E8">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工程造价（元）</w:t>
            </w:r>
          </w:p>
        </w:tc>
        <w:tc>
          <w:tcPr>
            <w:tcW w:w="857" w:type="dxa"/>
            <w:tcBorders>
              <w:top w:val="single" w:color="auto" w:sz="6" w:space="0"/>
              <w:left w:val="single" w:color="auto" w:sz="6" w:space="0"/>
              <w:bottom w:val="single" w:color="auto" w:sz="6" w:space="0"/>
              <w:right w:val="single" w:color="auto" w:sz="6" w:space="0"/>
            </w:tcBorders>
            <w:vAlign w:val="center"/>
          </w:tcPr>
          <w:p w14:paraId="69C4B073">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开工</w:t>
            </w:r>
          </w:p>
          <w:p w14:paraId="37A0E35D">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日期</w:t>
            </w:r>
          </w:p>
        </w:tc>
        <w:tc>
          <w:tcPr>
            <w:tcW w:w="809" w:type="dxa"/>
            <w:tcBorders>
              <w:top w:val="single" w:color="auto" w:sz="6" w:space="0"/>
              <w:left w:val="single" w:color="auto" w:sz="6" w:space="0"/>
              <w:bottom w:val="single" w:color="auto" w:sz="6" w:space="0"/>
              <w:right w:val="single" w:color="auto" w:sz="6" w:space="0"/>
            </w:tcBorders>
            <w:vAlign w:val="center"/>
          </w:tcPr>
          <w:p w14:paraId="05DBB61E">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竣工</w:t>
            </w:r>
          </w:p>
          <w:p w14:paraId="1546BC2A">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日期</w:t>
            </w:r>
          </w:p>
        </w:tc>
      </w:tr>
      <w:tr w14:paraId="3B2C4C9F">
        <w:tblPrEx>
          <w:tblCellMar>
            <w:top w:w="0" w:type="dxa"/>
            <w:left w:w="10" w:type="dxa"/>
            <w:bottom w:w="0" w:type="dxa"/>
            <w:right w:w="10" w:type="dxa"/>
          </w:tblCellMar>
        </w:tblPrEx>
        <w:trPr>
          <w:trHeight w:val="496"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6F11CCCF">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743B1358">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4968C5BB">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0EC32DD1">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53BBF82A">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702EE651">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19398276">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566D1FA2">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0F18E5CF">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65C5D6E8">
            <w:pPr>
              <w:jc w:val="center"/>
              <w:rPr>
                <w:rFonts w:asciiTheme="minorEastAsia" w:hAnsiTheme="minorEastAsia" w:eastAsiaTheme="minorEastAsia"/>
                <w:kern w:val="0"/>
                <w:sz w:val="24"/>
                <w:lang w:val="zh-CN"/>
              </w:rPr>
            </w:pPr>
          </w:p>
        </w:tc>
      </w:tr>
      <w:tr w14:paraId="448D101D">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7E67CBDC">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40416E3C">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504E3BF9">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005F2DC6">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10819603">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4E4A0246">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4FADBAAA">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7FA912E4">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3C631B6A">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0F1218BA">
            <w:pPr>
              <w:jc w:val="center"/>
              <w:rPr>
                <w:rFonts w:asciiTheme="minorEastAsia" w:hAnsiTheme="minorEastAsia" w:eastAsiaTheme="minorEastAsia"/>
                <w:kern w:val="0"/>
                <w:sz w:val="24"/>
                <w:lang w:val="zh-CN"/>
              </w:rPr>
            </w:pPr>
          </w:p>
        </w:tc>
      </w:tr>
      <w:tr w14:paraId="66A2A0A6">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20D6D3DD">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0DE830BA">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7C0A4CFC">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2FEA6578">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4555766F">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1FBEC2A2">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127E25AE">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326C06FE">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2B7B5A7C">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47CF2402">
            <w:pPr>
              <w:jc w:val="center"/>
              <w:rPr>
                <w:rFonts w:asciiTheme="minorEastAsia" w:hAnsiTheme="minorEastAsia" w:eastAsiaTheme="minorEastAsia"/>
                <w:kern w:val="0"/>
                <w:sz w:val="24"/>
                <w:lang w:val="zh-CN"/>
              </w:rPr>
            </w:pPr>
          </w:p>
        </w:tc>
      </w:tr>
      <w:tr w14:paraId="63B85042">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034F3DE5">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768B8673">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2966107E">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141809CD">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735B66C4">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11EE73A5">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4F8671F5">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7D5C1473">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3EC261FD">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785E80AC">
            <w:pPr>
              <w:jc w:val="center"/>
              <w:rPr>
                <w:rFonts w:asciiTheme="minorEastAsia" w:hAnsiTheme="minorEastAsia" w:eastAsiaTheme="minorEastAsia"/>
                <w:kern w:val="0"/>
                <w:sz w:val="24"/>
                <w:lang w:val="zh-CN"/>
              </w:rPr>
            </w:pPr>
          </w:p>
        </w:tc>
      </w:tr>
      <w:tr w14:paraId="0B6F5317">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69F5AD5C">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2E64665A">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3622FEBF">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77FCBE81">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57364AC9">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1CAC3282">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3010F4A2">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3A03C3F1">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4D19C7BD">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46CF8212">
            <w:pPr>
              <w:jc w:val="center"/>
              <w:rPr>
                <w:rFonts w:asciiTheme="minorEastAsia" w:hAnsiTheme="minorEastAsia" w:eastAsiaTheme="minorEastAsia"/>
                <w:kern w:val="0"/>
                <w:sz w:val="24"/>
                <w:lang w:val="zh-CN"/>
              </w:rPr>
            </w:pPr>
          </w:p>
        </w:tc>
      </w:tr>
      <w:tr w14:paraId="352599F9">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3368FBBB">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2567E5D4">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091AFFFE">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45011B4A">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3AC2AB68">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72AA32FA">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1B946190">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75970255">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32589EA3">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42786A27">
            <w:pPr>
              <w:jc w:val="center"/>
              <w:rPr>
                <w:rFonts w:asciiTheme="minorEastAsia" w:hAnsiTheme="minorEastAsia" w:eastAsiaTheme="minorEastAsia"/>
                <w:kern w:val="0"/>
                <w:sz w:val="24"/>
                <w:lang w:val="zh-CN"/>
              </w:rPr>
            </w:pPr>
          </w:p>
        </w:tc>
      </w:tr>
      <w:tr w14:paraId="540BF5C8">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74BD3013">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5BCE49EB">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17502631">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1B21A649">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1E297E8D">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37004BED">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012C6982">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11421D32">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68A44C88">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62420147">
            <w:pPr>
              <w:jc w:val="center"/>
              <w:rPr>
                <w:rFonts w:asciiTheme="minorEastAsia" w:hAnsiTheme="minorEastAsia" w:eastAsiaTheme="minorEastAsia"/>
                <w:kern w:val="0"/>
                <w:sz w:val="24"/>
                <w:lang w:val="zh-CN"/>
              </w:rPr>
            </w:pPr>
          </w:p>
        </w:tc>
      </w:tr>
      <w:tr w14:paraId="50D05E88">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27D682B4">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047957FA">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393792CD">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71FB1DB6">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2A8AD4FC">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7E7BCD09">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61DA0EA0">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325720A3">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0346D3A7">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769F10E5">
            <w:pPr>
              <w:jc w:val="center"/>
              <w:rPr>
                <w:rFonts w:asciiTheme="minorEastAsia" w:hAnsiTheme="minorEastAsia" w:eastAsiaTheme="minorEastAsia"/>
                <w:kern w:val="0"/>
                <w:sz w:val="24"/>
                <w:lang w:val="zh-CN"/>
              </w:rPr>
            </w:pPr>
          </w:p>
        </w:tc>
      </w:tr>
      <w:tr w14:paraId="79AAA540">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64B0251F">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0CE8B694">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546F1E52">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11318E57">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6D79F16E">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0EC03F90">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7EC09B54">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7AE50FE9">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1964D3BE">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5F51BEEA">
            <w:pPr>
              <w:jc w:val="center"/>
              <w:rPr>
                <w:rFonts w:asciiTheme="minorEastAsia" w:hAnsiTheme="minorEastAsia" w:eastAsiaTheme="minorEastAsia"/>
                <w:kern w:val="0"/>
                <w:sz w:val="24"/>
                <w:lang w:val="zh-CN"/>
              </w:rPr>
            </w:pPr>
          </w:p>
        </w:tc>
      </w:tr>
      <w:tr w14:paraId="27EB65F0">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2F731B60">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40F12AE4">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37B88069">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5E71CAB7">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28255F8E">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600B8C83">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1D91F952">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38C77FC8">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5C042C88">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37F20BD5">
            <w:pPr>
              <w:jc w:val="center"/>
              <w:rPr>
                <w:rFonts w:asciiTheme="minorEastAsia" w:hAnsiTheme="minorEastAsia" w:eastAsiaTheme="minorEastAsia"/>
                <w:kern w:val="0"/>
                <w:sz w:val="24"/>
                <w:lang w:val="zh-CN"/>
              </w:rPr>
            </w:pPr>
          </w:p>
        </w:tc>
      </w:tr>
      <w:tr w14:paraId="26AD62E1">
        <w:tblPrEx>
          <w:tblCellMar>
            <w:top w:w="0" w:type="dxa"/>
            <w:left w:w="10" w:type="dxa"/>
            <w:bottom w:w="0" w:type="dxa"/>
            <w:right w:w="10" w:type="dxa"/>
          </w:tblCellMar>
        </w:tblPrEx>
        <w:trPr>
          <w:trHeight w:val="585" w:hRule="atLeast"/>
          <w:jc w:val="center"/>
        </w:trPr>
        <w:tc>
          <w:tcPr>
            <w:tcW w:w="1678" w:type="dxa"/>
            <w:tcBorders>
              <w:top w:val="single" w:color="auto" w:sz="6" w:space="0"/>
              <w:left w:val="single" w:color="auto" w:sz="6" w:space="0"/>
              <w:bottom w:val="single" w:color="auto" w:sz="6" w:space="0"/>
              <w:right w:val="single" w:color="auto" w:sz="6" w:space="0"/>
            </w:tcBorders>
            <w:vAlign w:val="center"/>
          </w:tcPr>
          <w:p w14:paraId="21E3A298">
            <w:pPr>
              <w:jc w:val="center"/>
              <w:rPr>
                <w:rFonts w:asciiTheme="minorEastAsia" w:hAnsiTheme="minorEastAsia" w:eastAsiaTheme="minorEastAsia"/>
                <w:kern w:val="0"/>
                <w:sz w:val="24"/>
                <w:lang w:val="zh-CN"/>
              </w:rPr>
            </w:pPr>
          </w:p>
        </w:tc>
        <w:tc>
          <w:tcPr>
            <w:tcW w:w="590" w:type="dxa"/>
            <w:tcBorders>
              <w:top w:val="single" w:color="auto" w:sz="6" w:space="0"/>
              <w:left w:val="single" w:color="auto" w:sz="6" w:space="0"/>
              <w:bottom w:val="single" w:color="auto" w:sz="6" w:space="0"/>
              <w:right w:val="single" w:color="auto" w:sz="6" w:space="0"/>
            </w:tcBorders>
            <w:vAlign w:val="center"/>
          </w:tcPr>
          <w:p w14:paraId="0794F281">
            <w:pPr>
              <w:jc w:val="center"/>
              <w:rPr>
                <w:rFonts w:asciiTheme="minorEastAsia" w:hAnsiTheme="minorEastAsia" w:eastAsiaTheme="minorEastAsia"/>
                <w:kern w:val="0"/>
                <w:sz w:val="24"/>
                <w:lang w:val="zh-CN"/>
              </w:rPr>
            </w:pPr>
          </w:p>
        </w:tc>
        <w:tc>
          <w:tcPr>
            <w:tcW w:w="544" w:type="dxa"/>
            <w:tcBorders>
              <w:top w:val="single" w:color="auto" w:sz="6" w:space="0"/>
              <w:left w:val="single" w:color="auto" w:sz="6" w:space="0"/>
              <w:bottom w:val="single" w:color="auto" w:sz="6" w:space="0"/>
              <w:right w:val="single" w:color="auto" w:sz="6" w:space="0"/>
            </w:tcBorders>
            <w:vAlign w:val="center"/>
          </w:tcPr>
          <w:p w14:paraId="13A4D1E8">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45EBF897">
            <w:pPr>
              <w:jc w:val="center"/>
              <w:rPr>
                <w:rFonts w:asciiTheme="minorEastAsia" w:hAnsiTheme="minorEastAsia" w:eastAsiaTheme="minorEastAsia"/>
                <w:kern w:val="0"/>
                <w:sz w:val="24"/>
                <w:lang w:val="zh-CN"/>
              </w:rPr>
            </w:pPr>
          </w:p>
        </w:tc>
        <w:tc>
          <w:tcPr>
            <w:tcW w:w="567" w:type="dxa"/>
            <w:tcBorders>
              <w:top w:val="single" w:color="auto" w:sz="6" w:space="0"/>
              <w:left w:val="single" w:color="auto" w:sz="6" w:space="0"/>
              <w:bottom w:val="single" w:color="auto" w:sz="6" w:space="0"/>
              <w:right w:val="single" w:color="auto" w:sz="6" w:space="0"/>
            </w:tcBorders>
            <w:vAlign w:val="center"/>
          </w:tcPr>
          <w:p w14:paraId="21DFB9C5">
            <w:pPr>
              <w:jc w:val="center"/>
              <w:rPr>
                <w:rFonts w:asciiTheme="minorEastAsia" w:hAnsiTheme="minorEastAsia" w:eastAsiaTheme="minorEastAsia"/>
                <w:kern w:val="0"/>
                <w:sz w:val="24"/>
                <w:lang w:val="zh-CN"/>
              </w:rPr>
            </w:pPr>
          </w:p>
        </w:tc>
        <w:tc>
          <w:tcPr>
            <w:tcW w:w="992" w:type="dxa"/>
            <w:tcBorders>
              <w:top w:val="single" w:color="auto" w:sz="6" w:space="0"/>
              <w:left w:val="single" w:color="auto" w:sz="6" w:space="0"/>
              <w:bottom w:val="single" w:color="auto" w:sz="6" w:space="0"/>
              <w:right w:val="single" w:color="auto" w:sz="6" w:space="0"/>
            </w:tcBorders>
            <w:vAlign w:val="center"/>
          </w:tcPr>
          <w:p w14:paraId="1497931C">
            <w:pPr>
              <w:jc w:val="center"/>
              <w:rPr>
                <w:rFonts w:asciiTheme="minorEastAsia" w:hAnsiTheme="minorEastAsia" w:eastAsiaTheme="minorEastAsia"/>
                <w:kern w:val="0"/>
                <w:sz w:val="24"/>
                <w:lang w:val="zh-CN"/>
              </w:rPr>
            </w:pPr>
          </w:p>
        </w:tc>
        <w:tc>
          <w:tcPr>
            <w:tcW w:w="1650" w:type="dxa"/>
            <w:tcBorders>
              <w:top w:val="single" w:color="auto" w:sz="6" w:space="0"/>
              <w:left w:val="single" w:color="auto" w:sz="6" w:space="0"/>
              <w:bottom w:val="single" w:color="auto" w:sz="6" w:space="0"/>
              <w:right w:val="single" w:color="auto" w:sz="6" w:space="0"/>
            </w:tcBorders>
            <w:vAlign w:val="center"/>
          </w:tcPr>
          <w:p w14:paraId="631F0E20">
            <w:pPr>
              <w:jc w:val="center"/>
              <w:rPr>
                <w:rFonts w:asciiTheme="minorEastAsia" w:hAnsiTheme="minorEastAsia" w:eastAsiaTheme="minorEastAsia"/>
                <w:kern w:val="0"/>
                <w:sz w:val="24"/>
                <w:lang w:val="zh-CN"/>
              </w:rPr>
            </w:pPr>
          </w:p>
        </w:tc>
        <w:tc>
          <w:tcPr>
            <w:tcW w:w="1260" w:type="dxa"/>
            <w:tcBorders>
              <w:top w:val="single" w:color="auto" w:sz="6" w:space="0"/>
              <w:left w:val="single" w:color="auto" w:sz="6" w:space="0"/>
              <w:bottom w:val="single" w:color="auto" w:sz="6" w:space="0"/>
              <w:right w:val="single" w:color="auto" w:sz="6" w:space="0"/>
            </w:tcBorders>
            <w:vAlign w:val="center"/>
          </w:tcPr>
          <w:p w14:paraId="77709028">
            <w:pPr>
              <w:jc w:val="center"/>
              <w:rPr>
                <w:rFonts w:asciiTheme="minorEastAsia" w:hAnsiTheme="minorEastAsia" w:eastAsiaTheme="minorEastAsia"/>
                <w:kern w:val="0"/>
                <w:sz w:val="24"/>
                <w:lang w:val="zh-CN"/>
              </w:rPr>
            </w:pPr>
          </w:p>
        </w:tc>
        <w:tc>
          <w:tcPr>
            <w:tcW w:w="857" w:type="dxa"/>
            <w:tcBorders>
              <w:top w:val="single" w:color="auto" w:sz="6" w:space="0"/>
              <w:left w:val="single" w:color="auto" w:sz="6" w:space="0"/>
              <w:bottom w:val="single" w:color="auto" w:sz="6" w:space="0"/>
              <w:right w:val="single" w:color="auto" w:sz="6" w:space="0"/>
            </w:tcBorders>
            <w:vAlign w:val="center"/>
          </w:tcPr>
          <w:p w14:paraId="76014B5C">
            <w:pPr>
              <w:jc w:val="center"/>
              <w:rPr>
                <w:rFonts w:asciiTheme="minorEastAsia" w:hAnsiTheme="minorEastAsia" w:eastAsiaTheme="minorEastAsia"/>
                <w:kern w:val="0"/>
                <w:sz w:val="24"/>
                <w:lang w:val="zh-CN"/>
              </w:rPr>
            </w:pPr>
          </w:p>
        </w:tc>
        <w:tc>
          <w:tcPr>
            <w:tcW w:w="809" w:type="dxa"/>
            <w:tcBorders>
              <w:top w:val="single" w:color="auto" w:sz="6" w:space="0"/>
              <w:left w:val="single" w:color="auto" w:sz="6" w:space="0"/>
              <w:bottom w:val="single" w:color="auto" w:sz="6" w:space="0"/>
              <w:right w:val="single" w:color="auto" w:sz="6" w:space="0"/>
            </w:tcBorders>
            <w:vAlign w:val="center"/>
          </w:tcPr>
          <w:p w14:paraId="216813B8">
            <w:pPr>
              <w:jc w:val="center"/>
              <w:rPr>
                <w:rFonts w:asciiTheme="minorEastAsia" w:hAnsiTheme="minorEastAsia" w:eastAsiaTheme="minorEastAsia"/>
                <w:kern w:val="0"/>
                <w:sz w:val="24"/>
                <w:lang w:val="zh-CN"/>
              </w:rPr>
            </w:pPr>
          </w:p>
        </w:tc>
      </w:tr>
    </w:tbl>
    <w:p w14:paraId="1F187350">
      <w:pPr>
        <w:spacing w:line="360" w:lineRule="auto"/>
        <w:ind w:right="-86" w:firstLine="369"/>
        <w:rPr>
          <w:rFonts w:asciiTheme="minorEastAsia" w:hAnsiTheme="minorEastAsia" w:eastAsiaTheme="minorEastAsia"/>
          <w:b/>
          <w:sz w:val="24"/>
          <w:lang w:val="zh-CN"/>
        </w:rPr>
      </w:pPr>
    </w:p>
    <w:p w14:paraId="6E7D7265">
      <w:pPr>
        <w:spacing w:line="360" w:lineRule="auto"/>
        <w:ind w:right="-86" w:firstLine="369"/>
        <w:rPr>
          <w:rFonts w:asciiTheme="minorEastAsia" w:hAnsiTheme="minorEastAsia" w:eastAsiaTheme="minorEastAsia"/>
          <w:b/>
          <w:sz w:val="24"/>
          <w:lang w:val="zh-CN"/>
        </w:rPr>
      </w:pPr>
    </w:p>
    <w:p w14:paraId="2811890D">
      <w:pPr>
        <w:spacing w:line="360" w:lineRule="auto"/>
        <w:ind w:right="-86"/>
        <w:rPr>
          <w:rFonts w:asciiTheme="minorEastAsia" w:hAnsiTheme="minorEastAsia" w:eastAsiaTheme="minorEastAsia"/>
          <w:sz w:val="24"/>
          <w:lang w:val="zh-CN"/>
        </w:rPr>
      </w:pPr>
    </w:p>
    <w:p w14:paraId="196BFA66">
      <w:pPr>
        <w:spacing w:line="300" w:lineRule="auto"/>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br w:type="page"/>
      </w:r>
      <w:r>
        <w:rPr>
          <w:rFonts w:hint="eastAsia" w:asciiTheme="minorEastAsia" w:hAnsiTheme="minorEastAsia" w:eastAsiaTheme="minorEastAsia"/>
          <w:kern w:val="0"/>
          <w:sz w:val="24"/>
          <w:lang w:val="zh-CN"/>
        </w:rPr>
        <w:t>附件2：</w:t>
      </w:r>
    </w:p>
    <w:p w14:paraId="11810F83">
      <w:pPr>
        <w:spacing w:line="300" w:lineRule="auto"/>
        <w:jc w:val="center"/>
        <w:rPr>
          <w:rFonts w:asciiTheme="minorEastAsia" w:hAnsiTheme="minorEastAsia" w:eastAsiaTheme="minorEastAsia"/>
          <w:b/>
          <w:kern w:val="0"/>
          <w:sz w:val="24"/>
          <w:lang w:val="zh-CN"/>
        </w:rPr>
      </w:pPr>
      <w:r>
        <w:rPr>
          <w:rFonts w:hint="eastAsia" w:asciiTheme="minorEastAsia" w:hAnsiTheme="minorEastAsia" w:eastAsiaTheme="minorEastAsia"/>
          <w:b/>
          <w:kern w:val="0"/>
          <w:sz w:val="24"/>
          <w:lang w:val="zh-CN"/>
        </w:rPr>
        <w:t>发包供应材料设备一览表</w:t>
      </w:r>
    </w:p>
    <w:p w14:paraId="6337EEF5">
      <w:pPr>
        <w:spacing w:line="300" w:lineRule="auto"/>
        <w:jc w:val="center"/>
        <w:rPr>
          <w:rFonts w:asciiTheme="minorEastAsia" w:hAnsiTheme="minorEastAsia" w:eastAsiaTheme="minorEastAsia"/>
          <w:b/>
          <w:kern w:val="0"/>
          <w:sz w:val="24"/>
          <w:lang w:val="zh-CN"/>
        </w:rPr>
      </w:pPr>
    </w:p>
    <w:p w14:paraId="2825DA54">
      <w:pPr>
        <w:spacing w:line="300" w:lineRule="auto"/>
        <w:jc w:val="center"/>
        <w:rPr>
          <w:rFonts w:asciiTheme="minorEastAsia" w:hAnsiTheme="minorEastAsia" w:eastAsiaTheme="minorEastAsia"/>
          <w:b/>
          <w:kern w:val="0"/>
          <w:sz w:val="24"/>
          <w:lang w:val="zh-CN"/>
        </w:rPr>
      </w:pPr>
    </w:p>
    <w:tbl>
      <w:tblPr>
        <w:tblStyle w:val="12"/>
        <w:tblW w:w="0" w:type="auto"/>
        <w:jc w:val="center"/>
        <w:tblLayout w:type="fixed"/>
        <w:tblCellMar>
          <w:top w:w="0" w:type="dxa"/>
          <w:left w:w="10" w:type="dxa"/>
          <w:bottom w:w="0" w:type="dxa"/>
          <w:right w:w="10" w:type="dxa"/>
        </w:tblCellMar>
      </w:tblPr>
      <w:tblGrid>
        <w:gridCol w:w="523"/>
        <w:gridCol w:w="2406"/>
        <w:gridCol w:w="712"/>
        <w:gridCol w:w="426"/>
        <w:gridCol w:w="619"/>
        <w:gridCol w:w="632"/>
        <w:gridCol w:w="886"/>
        <w:gridCol w:w="886"/>
        <w:gridCol w:w="886"/>
        <w:gridCol w:w="886"/>
      </w:tblGrid>
      <w:tr w14:paraId="748D57A7">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22287956">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序号</w:t>
            </w:r>
          </w:p>
        </w:tc>
        <w:tc>
          <w:tcPr>
            <w:tcW w:w="2406" w:type="dxa"/>
            <w:tcBorders>
              <w:top w:val="single" w:color="auto" w:sz="6" w:space="0"/>
              <w:left w:val="single" w:color="auto" w:sz="6" w:space="0"/>
              <w:bottom w:val="single" w:color="auto" w:sz="6" w:space="0"/>
              <w:right w:val="single" w:color="auto" w:sz="6" w:space="0"/>
            </w:tcBorders>
            <w:vAlign w:val="center"/>
          </w:tcPr>
          <w:p w14:paraId="44F97EF8">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材料设备品种</w:t>
            </w:r>
          </w:p>
        </w:tc>
        <w:tc>
          <w:tcPr>
            <w:tcW w:w="712" w:type="dxa"/>
            <w:tcBorders>
              <w:top w:val="single" w:color="auto" w:sz="6" w:space="0"/>
              <w:left w:val="single" w:color="auto" w:sz="6" w:space="0"/>
              <w:bottom w:val="single" w:color="auto" w:sz="6" w:space="0"/>
              <w:right w:val="single" w:color="auto" w:sz="6" w:space="0"/>
            </w:tcBorders>
            <w:vAlign w:val="center"/>
          </w:tcPr>
          <w:p w14:paraId="208673FA">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规格</w:t>
            </w:r>
          </w:p>
          <w:p w14:paraId="67E5DF55">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型号</w:t>
            </w:r>
          </w:p>
        </w:tc>
        <w:tc>
          <w:tcPr>
            <w:tcW w:w="426" w:type="dxa"/>
            <w:tcBorders>
              <w:top w:val="single" w:color="auto" w:sz="6" w:space="0"/>
              <w:left w:val="single" w:color="auto" w:sz="6" w:space="0"/>
              <w:bottom w:val="single" w:color="auto" w:sz="6" w:space="0"/>
              <w:right w:val="single" w:color="auto" w:sz="6" w:space="0"/>
            </w:tcBorders>
            <w:vAlign w:val="center"/>
          </w:tcPr>
          <w:p w14:paraId="19A95411">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单位</w:t>
            </w:r>
          </w:p>
        </w:tc>
        <w:tc>
          <w:tcPr>
            <w:tcW w:w="619" w:type="dxa"/>
            <w:tcBorders>
              <w:top w:val="single" w:color="auto" w:sz="6" w:space="0"/>
              <w:left w:val="single" w:color="auto" w:sz="6" w:space="0"/>
              <w:bottom w:val="single" w:color="auto" w:sz="6" w:space="0"/>
              <w:right w:val="single" w:color="auto" w:sz="6" w:space="0"/>
            </w:tcBorders>
            <w:vAlign w:val="center"/>
          </w:tcPr>
          <w:p w14:paraId="581C71BB">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数量</w:t>
            </w:r>
          </w:p>
        </w:tc>
        <w:tc>
          <w:tcPr>
            <w:tcW w:w="632" w:type="dxa"/>
            <w:tcBorders>
              <w:top w:val="single" w:color="auto" w:sz="6" w:space="0"/>
              <w:left w:val="single" w:color="auto" w:sz="6" w:space="0"/>
              <w:bottom w:val="single" w:color="auto" w:sz="6" w:space="0"/>
              <w:right w:val="single" w:color="auto" w:sz="6" w:space="0"/>
            </w:tcBorders>
            <w:vAlign w:val="center"/>
          </w:tcPr>
          <w:p w14:paraId="4554DF80">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单价</w:t>
            </w:r>
          </w:p>
        </w:tc>
        <w:tc>
          <w:tcPr>
            <w:tcW w:w="886" w:type="dxa"/>
            <w:tcBorders>
              <w:top w:val="single" w:color="auto" w:sz="6" w:space="0"/>
              <w:left w:val="single" w:color="auto" w:sz="6" w:space="0"/>
              <w:bottom w:val="single" w:color="auto" w:sz="6" w:space="0"/>
              <w:right w:val="single" w:color="auto" w:sz="6" w:space="0"/>
            </w:tcBorders>
            <w:vAlign w:val="center"/>
          </w:tcPr>
          <w:p w14:paraId="7BD7FA07">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质量</w:t>
            </w:r>
          </w:p>
          <w:p w14:paraId="30AC71B4">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等级</w:t>
            </w:r>
          </w:p>
        </w:tc>
        <w:tc>
          <w:tcPr>
            <w:tcW w:w="886" w:type="dxa"/>
            <w:tcBorders>
              <w:top w:val="single" w:color="auto" w:sz="6" w:space="0"/>
              <w:left w:val="single" w:color="auto" w:sz="6" w:space="0"/>
              <w:bottom w:val="single" w:color="auto" w:sz="6" w:space="0"/>
              <w:right w:val="single" w:color="auto" w:sz="6" w:space="0"/>
            </w:tcBorders>
            <w:vAlign w:val="center"/>
          </w:tcPr>
          <w:p w14:paraId="296DB3B8">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供应</w:t>
            </w:r>
          </w:p>
          <w:p w14:paraId="5A1249C2">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时间</w:t>
            </w:r>
          </w:p>
        </w:tc>
        <w:tc>
          <w:tcPr>
            <w:tcW w:w="886" w:type="dxa"/>
            <w:tcBorders>
              <w:top w:val="single" w:color="auto" w:sz="6" w:space="0"/>
              <w:left w:val="single" w:color="auto" w:sz="6" w:space="0"/>
              <w:bottom w:val="single" w:color="auto" w:sz="6" w:space="0"/>
              <w:right w:val="single" w:color="auto" w:sz="6" w:space="0"/>
            </w:tcBorders>
            <w:vAlign w:val="center"/>
          </w:tcPr>
          <w:p w14:paraId="1769EB53">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送达</w:t>
            </w:r>
          </w:p>
          <w:p w14:paraId="0612FA6B">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地点</w:t>
            </w:r>
          </w:p>
        </w:tc>
        <w:tc>
          <w:tcPr>
            <w:tcW w:w="886" w:type="dxa"/>
            <w:tcBorders>
              <w:top w:val="single" w:color="auto" w:sz="6" w:space="0"/>
              <w:left w:val="single" w:color="auto" w:sz="6" w:space="0"/>
              <w:bottom w:val="single" w:color="auto" w:sz="6" w:space="0"/>
              <w:right w:val="single" w:color="auto" w:sz="6" w:space="0"/>
            </w:tcBorders>
            <w:vAlign w:val="center"/>
          </w:tcPr>
          <w:p w14:paraId="47EF1D24">
            <w:pPr>
              <w:jc w:val="center"/>
              <w:rPr>
                <w:rFonts w:asciiTheme="minorEastAsia" w:hAnsiTheme="minorEastAsia" w:eastAsiaTheme="minorEastAsia"/>
                <w:kern w:val="0"/>
                <w:sz w:val="24"/>
                <w:lang w:val="zh-CN"/>
              </w:rPr>
            </w:pPr>
            <w:r>
              <w:rPr>
                <w:rFonts w:hint="eastAsia" w:asciiTheme="minorEastAsia" w:hAnsiTheme="minorEastAsia" w:eastAsiaTheme="minorEastAsia"/>
                <w:kern w:val="0"/>
                <w:sz w:val="24"/>
                <w:lang w:val="zh-CN"/>
              </w:rPr>
              <w:t>备注</w:t>
            </w:r>
          </w:p>
        </w:tc>
      </w:tr>
      <w:tr w14:paraId="1596BEC5">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4A3413AC">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053B545E">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1F65AF4D">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728177D0">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3E521DB2">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0A9F4539">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CCE4C22">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EE427F5">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094175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031D467">
            <w:pPr>
              <w:jc w:val="center"/>
              <w:rPr>
                <w:rFonts w:asciiTheme="minorEastAsia" w:hAnsiTheme="minorEastAsia" w:eastAsiaTheme="minorEastAsia"/>
                <w:kern w:val="0"/>
                <w:sz w:val="24"/>
                <w:lang w:val="zh-CN"/>
              </w:rPr>
            </w:pPr>
          </w:p>
        </w:tc>
      </w:tr>
      <w:tr w14:paraId="06018EAC">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32BA3E4F">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399DFCA2">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743552A8">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2604CEC7">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6B8706F1">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41355ADF">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13725BB0">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C2E7D52">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9F8E9EF">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784AAC85">
            <w:pPr>
              <w:jc w:val="center"/>
              <w:rPr>
                <w:rFonts w:asciiTheme="minorEastAsia" w:hAnsiTheme="minorEastAsia" w:eastAsiaTheme="minorEastAsia"/>
                <w:kern w:val="0"/>
                <w:sz w:val="24"/>
                <w:lang w:val="zh-CN"/>
              </w:rPr>
            </w:pPr>
          </w:p>
        </w:tc>
      </w:tr>
      <w:tr w14:paraId="4FD2D7C3">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0854C6D7">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171B741C">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0B8A65A5">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1580B5CC">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094FD6D1">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64992031">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32A2E4A">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DFBED2C">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EE4DB7A">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02849AA">
            <w:pPr>
              <w:jc w:val="center"/>
              <w:rPr>
                <w:rFonts w:asciiTheme="minorEastAsia" w:hAnsiTheme="minorEastAsia" w:eastAsiaTheme="minorEastAsia"/>
                <w:kern w:val="0"/>
                <w:sz w:val="24"/>
                <w:lang w:val="zh-CN"/>
              </w:rPr>
            </w:pPr>
          </w:p>
        </w:tc>
      </w:tr>
      <w:tr w14:paraId="50526CB1">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73F34E6D">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6E59D4BB">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32DE1091">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58B6BBDD">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6097CEEF">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42A0FBA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6F2BCF7">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74EDF08F">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32E25CE5">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C89C280">
            <w:pPr>
              <w:jc w:val="center"/>
              <w:rPr>
                <w:rFonts w:asciiTheme="minorEastAsia" w:hAnsiTheme="minorEastAsia" w:eastAsiaTheme="minorEastAsia"/>
                <w:kern w:val="0"/>
                <w:sz w:val="24"/>
                <w:lang w:val="zh-CN"/>
              </w:rPr>
            </w:pPr>
          </w:p>
        </w:tc>
      </w:tr>
      <w:tr w14:paraId="55D2F4D0">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4C055248">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6F7817CB">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0ABEC534">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3ACA07AB">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4CCE0438">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2EE086C6">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81C139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323E2E40">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45EA497">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EE3226B">
            <w:pPr>
              <w:jc w:val="center"/>
              <w:rPr>
                <w:rFonts w:asciiTheme="minorEastAsia" w:hAnsiTheme="minorEastAsia" w:eastAsiaTheme="minorEastAsia"/>
                <w:kern w:val="0"/>
                <w:sz w:val="24"/>
                <w:lang w:val="zh-CN"/>
              </w:rPr>
            </w:pPr>
          </w:p>
        </w:tc>
      </w:tr>
      <w:tr w14:paraId="5E27EC60">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0C2F8BEA">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6AE988D9">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46C53F8C">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46F4B595">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6DB72F84">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5CE9CC9F">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1BEAAD59">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20D3394">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877FFB9">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33E6DDBB">
            <w:pPr>
              <w:jc w:val="center"/>
              <w:rPr>
                <w:rFonts w:asciiTheme="minorEastAsia" w:hAnsiTheme="minorEastAsia" w:eastAsiaTheme="minorEastAsia"/>
                <w:kern w:val="0"/>
                <w:sz w:val="24"/>
                <w:lang w:val="zh-CN"/>
              </w:rPr>
            </w:pPr>
          </w:p>
        </w:tc>
      </w:tr>
      <w:tr w14:paraId="59E425AA">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3FA31197">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692BC873">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16CA6C07">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57C11FFC">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0EF90872">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0A40D4C9">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0A8A343">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FEAC297">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85C5D83">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16E34AD">
            <w:pPr>
              <w:jc w:val="center"/>
              <w:rPr>
                <w:rFonts w:asciiTheme="minorEastAsia" w:hAnsiTheme="minorEastAsia" w:eastAsiaTheme="minorEastAsia"/>
                <w:kern w:val="0"/>
                <w:sz w:val="24"/>
                <w:lang w:val="zh-CN"/>
              </w:rPr>
            </w:pPr>
          </w:p>
        </w:tc>
      </w:tr>
      <w:tr w14:paraId="3C089B4F">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2E45AB6A">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3F4FEE6F">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5AAD0E2A">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000C00A5">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3CEF4CFC">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247C3466">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74591299">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D45A476">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3E431DC4">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EB74858">
            <w:pPr>
              <w:jc w:val="center"/>
              <w:rPr>
                <w:rFonts w:asciiTheme="minorEastAsia" w:hAnsiTheme="minorEastAsia" w:eastAsiaTheme="minorEastAsia"/>
                <w:kern w:val="0"/>
                <w:sz w:val="24"/>
                <w:lang w:val="zh-CN"/>
              </w:rPr>
            </w:pPr>
          </w:p>
        </w:tc>
      </w:tr>
      <w:tr w14:paraId="667ECA64">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2BDBE411">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2DD0D790">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4CDA486C">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0D1B1264">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578192C6">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6B09BAF8">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D484B72">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9BBC4E2">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128BA1B">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60C31CE">
            <w:pPr>
              <w:jc w:val="center"/>
              <w:rPr>
                <w:rFonts w:asciiTheme="minorEastAsia" w:hAnsiTheme="minorEastAsia" w:eastAsiaTheme="minorEastAsia"/>
                <w:kern w:val="0"/>
                <w:sz w:val="24"/>
                <w:lang w:val="zh-CN"/>
              </w:rPr>
            </w:pPr>
          </w:p>
        </w:tc>
      </w:tr>
      <w:tr w14:paraId="058EA077">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0657D3DC">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6771F4C1">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549CDF19">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2C6E3CE7">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3ED85838">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6AD16BBA">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7AAE5D69">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39AFB550">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E322175">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1BFB24B">
            <w:pPr>
              <w:jc w:val="center"/>
              <w:rPr>
                <w:rFonts w:asciiTheme="minorEastAsia" w:hAnsiTheme="minorEastAsia" w:eastAsiaTheme="minorEastAsia"/>
                <w:kern w:val="0"/>
                <w:sz w:val="24"/>
                <w:lang w:val="zh-CN"/>
              </w:rPr>
            </w:pPr>
          </w:p>
        </w:tc>
      </w:tr>
      <w:tr w14:paraId="78211469">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3D1D1FE5">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53D9F886">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4563926A">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0CA20F72">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262B6D85">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13C7A927">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381C4C81">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E2D8AEC">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5E322AF">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2DA904D">
            <w:pPr>
              <w:jc w:val="center"/>
              <w:rPr>
                <w:rFonts w:asciiTheme="minorEastAsia" w:hAnsiTheme="minorEastAsia" w:eastAsiaTheme="minorEastAsia"/>
                <w:kern w:val="0"/>
                <w:sz w:val="24"/>
                <w:lang w:val="zh-CN"/>
              </w:rPr>
            </w:pPr>
          </w:p>
        </w:tc>
      </w:tr>
      <w:tr w14:paraId="16EDCE7B">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62E09BCE">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0486FCAF">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41A5CCA2">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6A2F1EF8">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7B55414C">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4F86401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7906058">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E6CBFEA">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1A518E1">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195C7C88">
            <w:pPr>
              <w:jc w:val="center"/>
              <w:rPr>
                <w:rFonts w:asciiTheme="minorEastAsia" w:hAnsiTheme="minorEastAsia" w:eastAsiaTheme="minorEastAsia"/>
                <w:kern w:val="0"/>
                <w:sz w:val="24"/>
                <w:lang w:val="zh-CN"/>
              </w:rPr>
            </w:pPr>
          </w:p>
        </w:tc>
      </w:tr>
      <w:tr w14:paraId="7468E370">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0C8081E3">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0FF721BD">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7CE1B0D2">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458DD7B7">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10AEAA31">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1E020F4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B9598AF">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80398E1">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C0EC2F8">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DC97046">
            <w:pPr>
              <w:jc w:val="center"/>
              <w:rPr>
                <w:rFonts w:asciiTheme="minorEastAsia" w:hAnsiTheme="minorEastAsia" w:eastAsiaTheme="minorEastAsia"/>
                <w:kern w:val="0"/>
                <w:sz w:val="24"/>
                <w:lang w:val="zh-CN"/>
              </w:rPr>
            </w:pPr>
          </w:p>
        </w:tc>
      </w:tr>
      <w:tr w14:paraId="12BE83F1">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5EFC1AAE">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4830A245">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2B65290E">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61CCF681">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610D558C">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11349528">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1FFF0D90">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507D822">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08055A14">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B4CE71B">
            <w:pPr>
              <w:jc w:val="center"/>
              <w:rPr>
                <w:rFonts w:asciiTheme="minorEastAsia" w:hAnsiTheme="minorEastAsia" w:eastAsiaTheme="minorEastAsia"/>
                <w:kern w:val="0"/>
                <w:sz w:val="24"/>
                <w:lang w:val="zh-CN"/>
              </w:rPr>
            </w:pPr>
          </w:p>
        </w:tc>
      </w:tr>
      <w:tr w14:paraId="4DF8993C">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4008EC15">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4744600A">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37086DE5">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12B07DB1">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626FFF91">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37D7406A">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5C78B2B">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2A034886">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7B67265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71328B9">
            <w:pPr>
              <w:jc w:val="center"/>
              <w:rPr>
                <w:rFonts w:asciiTheme="minorEastAsia" w:hAnsiTheme="minorEastAsia" w:eastAsiaTheme="minorEastAsia"/>
                <w:kern w:val="0"/>
                <w:sz w:val="24"/>
                <w:lang w:val="zh-CN"/>
              </w:rPr>
            </w:pPr>
          </w:p>
        </w:tc>
      </w:tr>
      <w:tr w14:paraId="1BF641DB">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4A12B122">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41FBF66E">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4A64B7F4">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68D10F43">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60407752">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7CBC7C04">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AAFABE2">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153FB934">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E32B4E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C02BB34">
            <w:pPr>
              <w:jc w:val="center"/>
              <w:rPr>
                <w:rFonts w:asciiTheme="minorEastAsia" w:hAnsiTheme="minorEastAsia" w:eastAsiaTheme="minorEastAsia"/>
                <w:kern w:val="0"/>
                <w:sz w:val="24"/>
                <w:lang w:val="zh-CN"/>
              </w:rPr>
            </w:pPr>
          </w:p>
        </w:tc>
      </w:tr>
      <w:tr w14:paraId="48BAA14B">
        <w:tblPrEx>
          <w:tblCellMar>
            <w:top w:w="0" w:type="dxa"/>
            <w:left w:w="10" w:type="dxa"/>
            <w:bottom w:w="0" w:type="dxa"/>
            <w:right w:w="10" w:type="dxa"/>
          </w:tblCellMar>
        </w:tblPrEx>
        <w:trPr>
          <w:trHeight w:val="570" w:hRule="atLeast"/>
          <w:jc w:val="center"/>
        </w:trPr>
        <w:tc>
          <w:tcPr>
            <w:tcW w:w="523" w:type="dxa"/>
            <w:tcBorders>
              <w:top w:val="single" w:color="auto" w:sz="6" w:space="0"/>
              <w:left w:val="single" w:color="auto" w:sz="6" w:space="0"/>
              <w:bottom w:val="single" w:color="auto" w:sz="6" w:space="0"/>
              <w:right w:val="single" w:color="auto" w:sz="6" w:space="0"/>
            </w:tcBorders>
            <w:vAlign w:val="center"/>
          </w:tcPr>
          <w:p w14:paraId="73B450AD">
            <w:pPr>
              <w:jc w:val="right"/>
              <w:rPr>
                <w:rFonts w:asciiTheme="minorEastAsia" w:hAnsiTheme="minorEastAsia" w:eastAsiaTheme="minorEastAsia"/>
                <w:kern w:val="0"/>
                <w:sz w:val="24"/>
                <w:lang w:val="zh-CN"/>
              </w:rPr>
            </w:pPr>
          </w:p>
        </w:tc>
        <w:tc>
          <w:tcPr>
            <w:tcW w:w="2406" w:type="dxa"/>
            <w:tcBorders>
              <w:top w:val="single" w:color="auto" w:sz="6" w:space="0"/>
              <w:left w:val="single" w:color="auto" w:sz="6" w:space="0"/>
              <w:bottom w:val="single" w:color="auto" w:sz="6" w:space="0"/>
              <w:right w:val="single" w:color="auto" w:sz="6" w:space="0"/>
            </w:tcBorders>
            <w:vAlign w:val="center"/>
          </w:tcPr>
          <w:p w14:paraId="23D175E5">
            <w:pPr>
              <w:jc w:val="center"/>
              <w:rPr>
                <w:rFonts w:asciiTheme="minorEastAsia" w:hAnsiTheme="minorEastAsia" w:eastAsiaTheme="minorEastAsia"/>
                <w:kern w:val="0"/>
                <w:sz w:val="24"/>
                <w:lang w:val="zh-CN"/>
              </w:rPr>
            </w:pPr>
          </w:p>
        </w:tc>
        <w:tc>
          <w:tcPr>
            <w:tcW w:w="712" w:type="dxa"/>
            <w:tcBorders>
              <w:top w:val="single" w:color="auto" w:sz="6" w:space="0"/>
              <w:left w:val="single" w:color="auto" w:sz="6" w:space="0"/>
              <w:bottom w:val="single" w:color="auto" w:sz="6" w:space="0"/>
              <w:right w:val="single" w:color="auto" w:sz="6" w:space="0"/>
            </w:tcBorders>
            <w:vAlign w:val="center"/>
          </w:tcPr>
          <w:p w14:paraId="5C4D0A9C">
            <w:pPr>
              <w:jc w:val="center"/>
              <w:rPr>
                <w:rFonts w:asciiTheme="minorEastAsia" w:hAnsiTheme="minorEastAsia" w:eastAsiaTheme="minorEastAsia"/>
                <w:kern w:val="0"/>
                <w:sz w:val="24"/>
                <w:lang w:val="zh-CN"/>
              </w:rPr>
            </w:pPr>
          </w:p>
        </w:tc>
        <w:tc>
          <w:tcPr>
            <w:tcW w:w="426" w:type="dxa"/>
            <w:tcBorders>
              <w:top w:val="single" w:color="auto" w:sz="6" w:space="0"/>
              <w:left w:val="single" w:color="auto" w:sz="6" w:space="0"/>
              <w:bottom w:val="single" w:color="auto" w:sz="6" w:space="0"/>
              <w:right w:val="single" w:color="auto" w:sz="6" w:space="0"/>
            </w:tcBorders>
            <w:vAlign w:val="center"/>
          </w:tcPr>
          <w:p w14:paraId="19B3D92F">
            <w:pPr>
              <w:jc w:val="center"/>
              <w:rPr>
                <w:rFonts w:asciiTheme="minorEastAsia" w:hAnsiTheme="minorEastAsia" w:eastAsiaTheme="minorEastAsia"/>
                <w:kern w:val="0"/>
                <w:sz w:val="24"/>
                <w:lang w:val="zh-CN"/>
              </w:rPr>
            </w:pPr>
          </w:p>
        </w:tc>
        <w:tc>
          <w:tcPr>
            <w:tcW w:w="619" w:type="dxa"/>
            <w:tcBorders>
              <w:top w:val="single" w:color="auto" w:sz="6" w:space="0"/>
              <w:left w:val="single" w:color="auto" w:sz="6" w:space="0"/>
              <w:bottom w:val="single" w:color="auto" w:sz="6" w:space="0"/>
              <w:right w:val="single" w:color="auto" w:sz="6" w:space="0"/>
            </w:tcBorders>
            <w:vAlign w:val="center"/>
          </w:tcPr>
          <w:p w14:paraId="45AA76B6">
            <w:pPr>
              <w:jc w:val="center"/>
              <w:rPr>
                <w:rFonts w:asciiTheme="minorEastAsia" w:hAnsiTheme="minorEastAsia" w:eastAsiaTheme="minorEastAsia"/>
                <w:kern w:val="0"/>
                <w:sz w:val="24"/>
                <w:lang w:val="zh-CN"/>
              </w:rPr>
            </w:pPr>
          </w:p>
        </w:tc>
        <w:tc>
          <w:tcPr>
            <w:tcW w:w="632" w:type="dxa"/>
            <w:tcBorders>
              <w:top w:val="single" w:color="auto" w:sz="6" w:space="0"/>
              <w:left w:val="single" w:color="auto" w:sz="6" w:space="0"/>
              <w:bottom w:val="single" w:color="auto" w:sz="6" w:space="0"/>
              <w:right w:val="single" w:color="auto" w:sz="6" w:space="0"/>
            </w:tcBorders>
            <w:vAlign w:val="center"/>
          </w:tcPr>
          <w:p w14:paraId="5725313C">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403BE9FD">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619F5DAC">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7994AE3B">
            <w:pPr>
              <w:jc w:val="center"/>
              <w:rPr>
                <w:rFonts w:asciiTheme="minorEastAsia" w:hAnsiTheme="minorEastAsia" w:eastAsiaTheme="minorEastAsia"/>
                <w:kern w:val="0"/>
                <w:sz w:val="24"/>
                <w:lang w:val="zh-CN"/>
              </w:rPr>
            </w:pPr>
          </w:p>
        </w:tc>
        <w:tc>
          <w:tcPr>
            <w:tcW w:w="886" w:type="dxa"/>
            <w:tcBorders>
              <w:top w:val="single" w:color="auto" w:sz="6" w:space="0"/>
              <w:left w:val="single" w:color="auto" w:sz="6" w:space="0"/>
              <w:bottom w:val="single" w:color="auto" w:sz="6" w:space="0"/>
              <w:right w:val="single" w:color="auto" w:sz="6" w:space="0"/>
            </w:tcBorders>
            <w:vAlign w:val="center"/>
          </w:tcPr>
          <w:p w14:paraId="557453F1">
            <w:pPr>
              <w:jc w:val="center"/>
              <w:rPr>
                <w:rFonts w:asciiTheme="minorEastAsia" w:hAnsiTheme="minorEastAsia" w:eastAsiaTheme="minorEastAsia"/>
                <w:kern w:val="0"/>
                <w:sz w:val="24"/>
                <w:lang w:val="zh-CN"/>
              </w:rPr>
            </w:pPr>
          </w:p>
        </w:tc>
      </w:tr>
    </w:tbl>
    <w:p w14:paraId="6B8E80B7">
      <w:pPr>
        <w:spacing w:line="360" w:lineRule="auto"/>
        <w:ind w:right="-86" w:firstLine="422"/>
        <w:rPr>
          <w:rFonts w:asciiTheme="minorEastAsia" w:hAnsiTheme="minorEastAsia" w:eastAsiaTheme="minorEastAsia"/>
          <w:b/>
          <w:sz w:val="24"/>
          <w:lang w:val="zh-CN"/>
        </w:rPr>
      </w:pPr>
    </w:p>
    <w:p w14:paraId="45E15DA6">
      <w:pPr>
        <w:spacing w:line="360" w:lineRule="auto"/>
        <w:ind w:right="-86" w:firstLine="420"/>
        <w:rPr>
          <w:rFonts w:asciiTheme="minorEastAsia" w:hAnsiTheme="minorEastAsia" w:eastAsiaTheme="minorEastAsia"/>
          <w:sz w:val="24"/>
          <w:lang w:val="zh-CN"/>
        </w:rPr>
      </w:pPr>
    </w:p>
    <w:p w14:paraId="7711A1CA">
      <w:pPr>
        <w:spacing w:line="360" w:lineRule="auto"/>
        <w:ind w:right="-86" w:firstLine="420"/>
        <w:rPr>
          <w:rFonts w:asciiTheme="minorEastAsia" w:hAnsiTheme="minorEastAsia" w:eastAsiaTheme="minorEastAsia"/>
          <w:b/>
          <w:kern w:val="0"/>
          <w:sz w:val="24"/>
          <w:lang w:val="zh-CN"/>
        </w:rPr>
      </w:pPr>
      <w:r>
        <w:rPr>
          <w:rFonts w:hint="eastAsia" w:asciiTheme="minorEastAsia" w:hAnsiTheme="minorEastAsia" w:eastAsiaTheme="minorEastAsia"/>
          <w:sz w:val="24"/>
          <w:lang w:val="zh-CN"/>
        </w:rPr>
        <w:br w:type="page"/>
      </w:r>
      <w:r>
        <w:rPr>
          <w:rFonts w:hint="eastAsia" w:asciiTheme="minorEastAsia" w:hAnsiTheme="minorEastAsia" w:eastAsiaTheme="minorEastAsia"/>
          <w:sz w:val="24"/>
          <w:lang w:val="zh-CN"/>
        </w:rPr>
        <w:t>附件3：</w:t>
      </w:r>
      <w:r>
        <w:rPr>
          <w:rFonts w:hint="eastAsia" w:asciiTheme="minorEastAsia" w:hAnsiTheme="minorEastAsia" w:eastAsiaTheme="minorEastAsia"/>
          <w:b/>
          <w:kern w:val="0"/>
          <w:sz w:val="24"/>
          <w:lang w:val="zh-CN"/>
        </w:rPr>
        <w:t>工程质量保修书</w:t>
      </w:r>
    </w:p>
    <w:p w14:paraId="0520E578">
      <w:pPr>
        <w:pStyle w:val="11"/>
        <w:rPr>
          <w:rFonts w:asciiTheme="minorEastAsia" w:hAnsiTheme="minorEastAsia" w:eastAsiaTheme="minorEastAsia"/>
        </w:rPr>
      </w:pPr>
    </w:p>
    <w:p w14:paraId="19E6077A">
      <w:pPr>
        <w:spacing w:line="460" w:lineRule="exact"/>
        <w:rPr>
          <w:rFonts w:asciiTheme="minorEastAsia" w:hAnsiTheme="minorEastAsia" w:eastAsiaTheme="minorEastAsia"/>
          <w:color w:val="000000" w:themeColor="text1"/>
          <w:sz w:val="24"/>
          <w:u w:val="single"/>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发包人全称：</w:t>
      </w:r>
    </w:p>
    <w:p w14:paraId="4E8F2745">
      <w:pPr>
        <w:spacing w:line="460" w:lineRule="exact"/>
        <w:rPr>
          <w:rFonts w:asciiTheme="minorEastAsia" w:hAnsiTheme="minorEastAsia" w:eastAsiaTheme="minorEastAsia"/>
          <w:color w:val="000000" w:themeColor="text1"/>
          <w:sz w:val="24"/>
          <w:u w:val="single"/>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承包人全称：</w:t>
      </w:r>
    </w:p>
    <w:p w14:paraId="4F64F3AB">
      <w:pPr>
        <w:spacing w:line="460" w:lineRule="exact"/>
        <w:ind w:firstLine="720" w:firstLineChars="3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为保证 (工程名称)在合理使用期限内正常使用，发包人承包人根据《中华人民共和国建筑法》、《建设工程质量管理条例》和《房屋建筑工程质量保修办法》，经协商一致签订工程质量保修书。承包人在质量保修期内按照有关管理规定及双方约定承担工程质量保修责任。</w:t>
      </w:r>
    </w:p>
    <w:p w14:paraId="5E7DE18E">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一、工程质量保修范围和内容</w:t>
      </w:r>
    </w:p>
    <w:p w14:paraId="50C63F15">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根据本工程修缮和装修的项目，双方约定具体质量保修范围及内容如下：                                                                </w:t>
      </w:r>
    </w:p>
    <w:p w14:paraId="3AAB07F9">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二、质量保修期</w:t>
      </w:r>
    </w:p>
    <w:p w14:paraId="43635337">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质量保修期从工程实际竣工验收合格之日算起，分单项竣工验收助工程，按单项工程分别计算质量保修期。</w:t>
      </w:r>
    </w:p>
    <w:p w14:paraId="747CEC3B">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双方根据《建设工程质量管理条例》 及有关规定，结合本修缮及装修工程约定质量保修期如下：</w:t>
      </w:r>
    </w:p>
    <w:p w14:paraId="084C0F4D">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1．土建结构修缮工程为：年；</w:t>
      </w:r>
    </w:p>
    <w:p w14:paraId="2593E689">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2．房屋防水修缮工程为：年；</w:t>
      </w:r>
    </w:p>
    <w:p w14:paraId="36A4FB2B">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3．装修工期为：年；</w:t>
      </w:r>
    </w:p>
    <w:p w14:paraId="5E1FFABA">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4．电气管线、上下水管线修缮工程为：年；</w:t>
      </w:r>
    </w:p>
    <w:p w14:paraId="79B263A2">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5．供热及供冷为：个采暖期及供冷期；</w:t>
      </w:r>
    </w:p>
    <w:p w14:paraId="6F9F9EF4">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6．室外的上下水和小区道路等市政公用工程为： 年；</w:t>
      </w:r>
    </w:p>
    <w:p w14:paraId="522B60E2">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7．其他约定：</w:t>
      </w:r>
    </w:p>
    <w:p w14:paraId="28F3E7DC">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三、质量保修责任</w:t>
      </w:r>
    </w:p>
    <w:p w14:paraId="722AF433">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1．承包人在质量保修期内，按照有关法律、法规、规章的管理规定和双方约定，承担本工程质量保修责任，但不负责原房屋建筑的保修责任。</w:t>
      </w:r>
    </w:p>
    <w:p w14:paraId="168D6760">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2．属于保修范围和内容的项目，承包人应在接到修理通知之日后7天内派人修理。承包人不在约定期限内派人修理，发包人可委托其他人员修理。</w:t>
      </w:r>
    </w:p>
    <w:p w14:paraId="2D857F98">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3．发生紧急抢修事故(如上水跑水、暖气漏水等)，承包人接到事故通知后，应立即到达事故现场检修。</w:t>
      </w:r>
    </w:p>
    <w:p w14:paraId="284C1C2A">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4．对涉及结构安全的质量问题，应当参照《房屋建筑工程质量保修办法》及其他有关规定，立即向有关主管部门报告，采取安全防范措施；由原设计单位或者具有相应资质等级的设计单位提出保修方案，承包人实施保修。</w:t>
      </w:r>
    </w:p>
    <w:p w14:paraId="6AEE600C">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5．质量保修完成后，由发包人组织验收。</w:t>
      </w:r>
    </w:p>
    <w:p w14:paraId="485AF6C6">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四、保修费用</w:t>
      </w:r>
    </w:p>
    <w:p w14:paraId="7220B3E2">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保修费用由造成质量缺陷的责任方承担。</w:t>
      </w:r>
    </w:p>
    <w:p w14:paraId="52D5CBAC">
      <w:pPr>
        <w:spacing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五、其他</w:t>
      </w:r>
    </w:p>
    <w:p w14:paraId="3A42C947">
      <w:pPr>
        <w:spacing w:line="460" w:lineRule="exact"/>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双方约定的其他工程质量保修事项：                                  </w:t>
      </w:r>
    </w:p>
    <w:p w14:paraId="4F1DEFB9">
      <w:pPr>
        <w:spacing w:line="460" w:lineRule="exact"/>
        <w:ind w:firstLine="48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本工程质量保修书作为施工合同附件，由施工合同发包人承包人在竣工验收前双方共同签署，其有效期限至保修期满。</w:t>
      </w:r>
    </w:p>
    <w:p w14:paraId="7464BAB0">
      <w:pPr>
        <w:spacing w:afterLines="50" w:line="460" w:lineRule="exact"/>
        <w:ind w:firstLine="146" w:firstLineChars="50"/>
        <w:rPr>
          <w:rFonts w:asciiTheme="minorEastAsia" w:hAnsiTheme="minorEastAsia" w:eastAsiaTheme="minorEastAsia"/>
          <w:color w:val="000000" w:themeColor="text1"/>
          <w:spacing w:val="26"/>
          <w:sz w:val="24"/>
          <w14:textFill>
            <w14:solidFill>
              <w14:schemeClr w14:val="tx1"/>
            </w14:solidFill>
          </w14:textFill>
        </w:rPr>
      </w:pPr>
    </w:p>
    <w:p w14:paraId="6DEF343F">
      <w:pPr>
        <w:spacing w:afterLines="50" w:line="460" w:lineRule="exact"/>
        <w:rPr>
          <w:rFonts w:asciiTheme="minorEastAsia" w:hAnsiTheme="minorEastAsia" w:eastAsiaTheme="minorEastAsia"/>
          <w:color w:val="000000" w:themeColor="text1"/>
          <w:spacing w:val="26"/>
          <w:sz w:val="24"/>
          <w14:textFill>
            <w14:solidFill>
              <w14:schemeClr w14:val="tx1"/>
            </w14:solidFill>
          </w14:textFill>
        </w:rPr>
      </w:pPr>
      <w:r>
        <w:rPr>
          <w:rFonts w:hint="eastAsia" w:asciiTheme="minorEastAsia" w:hAnsiTheme="minorEastAsia" w:eastAsiaTheme="minorEastAsia"/>
          <w:color w:val="000000" w:themeColor="text1"/>
          <w:spacing w:val="26"/>
          <w:sz w:val="24"/>
          <w14:textFill>
            <w14:solidFill>
              <w14:schemeClr w14:val="tx1"/>
            </w14:solidFill>
          </w14:textFill>
        </w:rPr>
        <w:t xml:space="preserve">发包人（公章）：                 </w:t>
      </w:r>
      <w:r>
        <w:rPr>
          <w:rFonts w:hint="eastAsia" w:asciiTheme="minorEastAsia" w:hAnsiTheme="minorEastAsia" w:eastAsiaTheme="minorEastAsia"/>
          <w:color w:val="000000" w:themeColor="text1"/>
          <w:spacing w:val="30"/>
          <w:sz w:val="24"/>
          <w14:textFill>
            <w14:solidFill>
              <w14:schemeClr w14:val="tx1"/>
            </w14:solidFill>
          </w14:textFill>
        </w:rPr>
        <w:t>承包人（公章）：</w:t>
      </w:r>
    </w:p>
    <w:p w14:paraId="2CE302A0">
      <w:pPr>
        <w:spacing w:afterLines="100" w:line="460" w:lineRule="exac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法定代表人或经办人（签字）：       法定代表人或委托人（签字）：</w:t>
      </w:r>
    </w:p>
    <w:p w14:paraId="04ED7E02">
      <w:pPr>
        <w:spacing w:afterLines="100" w:line="460" w:lineRule="exact"/>
        <w:ind w:firstLine="240" w:firstLineChars="100"/>
        <w:rPr>
          <w:rFonts w:asciiTheme="minorEastAsia" w:hAnsiTheme="minorEastAsia" w:eastAsiaTheme="minorEastAsia"/>
          <w:color w:val="000000" w:themeColor="text1"/>
          <w:sz w:val="24"/>
          <w:u w:val="single"/>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 年    月    日                                年    月    日</w:t>
      </w:r>
    </w:p>
    <w:p w14:paraId="3B457DDF">
      <w:pPr>
        <w:rPr>
          <w:rFonts w:asciiTheme="minorEastAsia" w:hAnsiTheme="minorEastAsia" w:eastAsiaTheme="minorEastAsia"/>
          <w:sz w:val="24"/>
          <w:lang w:val="zh-CN"/>
        </w:rPr>
      </w:pPr>
      <w:r>
        <w:rPr>
          <w:rFonts w:hint="eastAsia" w:asciiTheme="minorEastAsia" w:hAnsiTheme="minorEastAsia" w:eastAsiaTheme="minorEastAsia"/>
          <w:sz w:val="24"/>
          <w:lang w:val="zh-CN"/>
        </w:rPr>
        <w:br w:type="page"/>
      </w:r>
    </w:p>
    <w:p w14:paraId="09CCD4CB">
      <w:pPr>
        <w:spacing w:line="600" w:lineRule="exact"/>
        <w:ind w:left="420" w:right="-86"/>
        <w:rPr>
          <w:rFonts w:asciiTheme="minorEastAsia" w:hAnsiTheme="minorEastAsia" w:eastAsiaTheme="minorEastAsia"/>
          <w:sz w:val="24"/>
          <w:lang w:val="zh-CN"/>
        </w:rPr>
      </w:pPr>
      <w:r>
        <w:rPr>
          <w:rFonts w:hint="eastAsia" w:asciiTheme="minorEastAsia" w:hAnsiTheme="minorEastAsia" w:eastAsiaTheme="minorEastAsia"/>
          <w:sz w:val="24"/>
          <w:lang w:val="zh-CN"/>
        </w:rPr>
        <w:t>附件4</w:t>
      </w:r>
      <w:r>
        <w:rPr>
          <w:rFonts w:hint="eastAsia" w:asciiTheme="minorEastAsia" w:hAnsiTheme="minorEastAsia" w:eastAsiaTheme="minorEastAsia"/>
          <w:b/>
          <w:kern w:val="0"/>
          <w:sz w:val="24"/>
          <w:lang w:val="zh-CN"/>
        </w:rPr>
        <w:t xml:space="preserve">    民工权益保障书</w:t>
      </w:r>
    </w:p>
    <w:p w14:paraId="540C6B1A">
      <w:pPr>
        <w:spacing w:line="520" w:lineRule="exact"/>
        <w:ind w:firstLine="480" w:firstLineChars="200"/>
        <w:rPr>
          <w:rFonts w:asciiTheme="minorEastAsia" w:hAnsiTheme="minorEastAsia" w:eastAsiaTheme="minorEastAsia"/>
          <w:sz w:val="24"/>
          <w:lang w:val="zh-CN"/>
        </w:rPr>
      </w:pPr>
      <w:r>
        <w:rPr>
          <w:rFonts w:hint="eastAsia" w:asciiTheme="minorEastAsia" w:hAnsiTheme="minorEastAsia" w:eastAsiaTheme="minorEastAsia"/>
          <w:sz w:val="24"/>
          <w:lang w:val="zh-CN"/>
        </w:rPr>
        <w:t>致：</w:t>
      </w:r>
    </w:p>
    <w:p w14:paraId="138685D3">
      <w:pPr>
        <w:spacing w:line="520" w:lineRule="exact"/>
        <w:ind w:firstLine="480"/>
        <w:rPr>
          <w:rFonts w:asciiTheme="minorEastAsia" w:hAnsiTheme="minorEastAsia" w:eastAsiaTheme="minorEastAsia"/>
          <w:sz w:val="24"/>
          <w:lang w:val="zh-CN"/>
        </w:rPr>
      </w:pPr>
      <w:r>
        <w:rPr>
          <w:rFonts w:hint="eastAsia" w:asciiTheme="minorEastAsia" w:hAnsiTheme="minorEastAsia" w:eastAsiaTheme="minorEastAsia"/>
          <w:sz w:val="24"/>
          <w:lang w:val="zh-CN"/>
        </w:rPr>
        <w:t>本公司已与贵司签订《》合同，我公司同意在合同履行过程中，向贵司就民工权益工作做如下承诺：</w:t>
      </w:r>
    </w:p>
    <w:p w14:paraId="2DF056A0">
      <w:pPr>
        <w:spacing w:line="520" w:lineRule="exact"/>
        <w:ind w:firstLine="480"/>
        <w:rPr>
          <w:rFonts w:asciiTheme="minorEastAsia" w:hAnsiTheme="minorEastAsia" w:eastAsiaTheme="minorEastAsia"/>
          <w:sz w:val="24"/>
          <w:lang w:val="zh-CN"/>
        </w:rPr>
      </w:pPr>
      <w:r>
        <w:rPr>
          <w:rFonts w:hint="eastAsia" w:asciiTheme="minorEastAsia" w:hAnsiTheme="minorEastAsia" w:eastAsiaTheme="minorEastAsia"/>
          <w:sz w:val="24"/>
          <w:lang w:val="zh-CN"/>
        </w:rPr>
        <w:t>1、我司将成立有专人负责的民工权益保障专职部门，部门人员由项目经理、预算部经理、财务部经理、民工权益保障专员组成；项目经理兼任民工权益保障部门经理，与贵司民工权益保障部工作对接。</w:t>
      </w:r>
    </w:p>
    <w:p w14:paraId="02BFF0AD">
      <w:pPr>
        <w:spacing w:line="520" w:lineRule="exact"/>
        <w:ind w:firstLine="480"/>
        <w:rPr>
          <w:rFonts w:asciiTheme="minorEastAsia" w:hAnsiTheme="minorEastAsia" w:eastAsiaTheme="minorEastAsia"/>
          <w:sz w:val="24"/>
          <w:lang w:val="zh-CN"/>
        </w:rPr>
      </w:pPr>
      <w:r>
        <w:rPr>
          <w:rFonts w:hint="eastAsia" w:asciiTheme="minorEastAsia" w:hAnsiTheme="minorEastAsia" w:eastAsiaTheme="minorEastAsia"/>
          <w:sz w:val="24"/>
          <w:lang w:val="zh-CN"/>
        </w:rPr>
        <w:t>2、我司承诺认真履行职责，做好本公司在贵司承建的施工项目的民工用工和管理工作，足额支付劳务分包单位的工程款，确保按时足额将民工工资发放到民工本人，安排好民工的生活，做好民工的安全教育和管理工作，发放劳保和安全用品。</w:t>
      </w:r>
    </w:p>
    <w:p w14:paraId="422D9DBC">
      <w:pPr>
        <w:spacing w:line="520" w:lineRule="exact"/>
        <w:ind w:firstLine="480"/>
        <w:rPr>
          <w:rFonts w:asciiTheme="minorEastAsia" w:hAnsiTheme="minorEastAsia" w:eastAsiaTheme="minorEastAsia"/>
          <w:sz w:val="24"/>
          <w:lang w:val="zh-CN"/>
        </w:rPr>
      </w:pPr>
      <w:r>
        <w:rPr>
          <w:rFonts w:hint="eastAsia" w:asciiTheme="minorEastAsia" w:hAnsiTheme="minorEastAsia" w:eastAsiaTheme="minorEastAsia"/>
          <w:sz w:val="24"/>
          <w:lang w:val="zh-CN"/>
        </w:rPr>
        <w:t>3、我司承诺将民工权益保障工作的绩效作为工程款支付依据之一（工程进度款支付除应附确认的形象进度资料之外，同时应附确认的民工权益保障合格资料），我公司在合同履行过程中，将按贵司要求按时如实填报有关民工权益保障资料。如果我公司违反承诺，则同意贵司进度款分两步支付，先支付上月（期）民工工资，待我公司发放民工工资完毕并提供相关凭证，再支付进度款的余额。</w:t>
      </w:r>
    </w:p>
    <w:p w14:paraId="09A4159A">
      <w:pPr>
        <w:spacing w:line="520" w:lineRule="exact"/>
        <w:ind w:firstLine="480"/>
        <w:rPr>
          <w:rFonts w:asciiTheme="minorEastAsia" w:hAnsiTheme="minorEastAsia" w:eastAsiaTheme="minorEastAsia"/>
          <w:sz w:val="24"/>
          <w:lang w:val="zh-CN"/>
        </w:rPr>
      </w:pPr>
      <w:r>
        <w:rPr>
          <w:rFonts w:hint="eastAsia" w:asciiTheme="minorEastAsia" w:hAnsiTheme="minorEastAsia" w:eastAsiaTheme="minorEastAsia"/>
          <w:sz w:val="24"/>
          <w:lang w:val="zh-CN"/>
        </w:rPr>
        <w:t>4、一旦发现本公司严重拖欠民工工资，导致民工因欠薪闹事，同意由贵司直接代为支付民工工资，并在下期进度款中扣除。</w:t>
      </w:r>
    </w:p>
    <w:p w14:paraId="3FC748FD">
      <w:pPr>
        <w:spacing w:line="520" w:lineRule="exact"/>
        <w:ind w:firstLine="480"/>
        <w:jc w:val="left"/>
        <w:rPr>
          <w:rFonts w:asciiTheme="minorEastAsia" w:hAnsiTheme="minorEastAsia" w:eastAsiaTheme="minorEastAsia"/>
          <w:sz w:val="24"/>
          <w:lang w:val="zh-CN"/>
        </w:rPr>
      </w:pPr>
      <w:r>
        <w:rPr>
          <w:rFonts w:hint="eastAsia" w:asciiTheme="minorEastAsia" w:hAnsiTheme="minorEastAsia" w:eastAsiaTheme="minorEastAsia"/>
          <w:sz w:val="24"/>
          <w:lang w:val="zh-CN"/>
        </w:rPr>
        <w:t>5、一旦出现本公司因民工权益保障工作不到位，导致重大突发事件，并造成一定影响，本公司承担由此产生的全部责任，并承诺向贵司偿付违反承诺赔偿金。</w:t>
      </w:r>
    </w:p>
    <w:p w14:paraId="4F1D8333">
      <w:pPr>
        <w:spacing w:line="520" w:lineRule="exact"/>
        <w:ind w:right="-86"/>
        <w:jc w:val="center"/>
        <w:rPr>
          <w:rFonts w:asciiTheme="minorEastAsia" w:hAnsiTheme="minorEastAsia" w:eastAsiaTheme="minorEastAsia"/>
          <w:sz w:val="24"/>
          <w:lang w:val="zh-CN"/>
        </w:rPr>
      </w:pPr>
    </w:p>
    <w:p w14:paraId="78579595">
      <w:pPr>
        <w:keepNext w:val="0"/>
        <w:keepLines w:val="0"/>
        <w:pageBreakBefore w:val="0"/>
        <w:widowControl w:val="0"/>
        <w:kinsoku/>
        <w:wordWrap/>
        <w:overflowPunct/>
        <w:topLinePunct w:val="0"/>
        <w:autoSpaceDE/>
        <w:autoSpaceDN/>
        <w:bidi w:val="0"/>
        <w:adjustRightInd/>
        <w:snapToGrid/>
        <w:spacing w:line="560" w:lineRule="exact"/>
        <w:ind w:right="-86"/>
        <w:jc w:val="center"/>
        <w:textAlignment w:val="auto"/>
        <w:rPr>
          <w:rFonts w:asciiTheme="minorEastAsia" w:hAnsiTheme="minorEastAsia" w:eastAsiaTheme="minorEastAsia"/>
          <w:sz w:val="24"/>
          <w:lang w:val="zh-CN"/>
        </w:rPr>
      </w:pPr>
      <w:r>
        <w:rPr>
          <w:rFonts w:hint="eastAsia" w:asciiTheme="minorEastAsia" w:hAnsiTheme="minorEastAsia" w:eastAsiaTheme="minorEastAsia"/>
          <w:sz w:val="24"/>
          <w:lang w:val="zh-CN"/>
        </w:rPr>
        <w:t xml:space="preserve">  承诺人：</w:t>
      </w:r>
      <w:r>
        <w:rPr>
          <w:rFonts w:hint="eastAsia" w:asciiTheme="minorEastAsia" w:hAnsiTheme="minorEastAsia" w:eastAsiaTheme="minorEastAsia"/>
          <w:sz w:val="24"/>
          <w:u w:val="single"/>
          <w:lang w:val="zh-CN"/>
        </w:rPr>
        <w:t xml:space="preserve">   （企业盖章）</w:t>
      </w:r>
    </w:p>
    <w:p w14:paraId="627A08E0">
      <w:pPr>
        <w:keepNext w:val="0"/>
        <w:keepLines w:val="0"/>
        <w:pageBreakBefore w:val="0"/>
        <w:widowControl w:val="0"/>
        <w:kinsoku/>
        <w:wordWrap/>
        <w:overflowPunct/>
        <w:topLinePunct w:val="0"/>
        <w:autoSpaceDE/>
        <w:autoSpaceDN/>
        <w:bidi w:val="0"/>
        <w:adjustRightInd/>
        <w:snapToGrid/>
        <w:spacing w:line="560" w:lineRule="exact"/>
        <w:ind w:right="-86" w:firstLine="3120" w:firstLineChars="1300"/>
        <w:textAlignment w:val="auto"/>
        <w:rPr>
          <w:rFonts w:asciiTheme="minorEastAsia" w:hAnsiTheme="minorEastAsia" w:eastAsiaTheme="minorEastAsia"/>
          <w:sz w:val="24"/>
          <w:lang w:val="zh-CN"/>
        </w:rPr>
      </w:pPr>
      <w:r>
        <w:rPr>
          <w:rFonts w:hint="eastAsia" w:asciiTheme="minorEastAsia" w:hAnsiTheme="minorEastAsia" w:eastAsiaTheme="minorEastAsia"/>
          <w:sz w:val="24"/>
          <w:lang w:val="zh-CN"/>
        </w:rPr>
        <w:t xml:space="preserve"> 法定代表人或被授权人：</w:t>
      </w:r>
    </w:p>
    <w:p w14:paraId="4499E665">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Theme="minorEastAsia" w:hAnsiTheme="minorEastAsia" w:eastAsiaTheme="minorEastAsia"/>
          <w:sz w:val="24"/>
          <w:lang w:val="zh-CN"/>
        </w:rPr>
        <w:t xml:space="preserve">                       承诺日期：   年    月    日</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85DD0">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DC7AFD">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CDC7AFD">
                    <w:pPr>
                      <w:pStyle w:val="7"/>
                    </w:pPr>
                    <w:r>
                      <w:fldChar w:fldCharType="begin"/>
                    </w:r>
                    <w:r>
                      <w:instrText xml:space="preserve"> PAGE  \* MERGEFORMAT </w:instrText>
                    </w:r>
                    <w:r>
                      <w:fldChar w:fldCharType="separate"/>
                    </w:r>
                    <w:r>
                      <w:t>9</w:t>
                    </w:r>
                    <w: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94B63"/>
    <w:rsid w:val="08194B63"/>
    <w:rsid w:val="0BA57117"/>
    <w:rsid w:val="1BC550AF"/>
    <w:rsid w:val="33DC1E24"/>
    <w:rsid w:val="382029E1"/>
    <w:rsid w:val="4C9E235A"/>
    <w:rsid w:val="55D979FE"/>
    <w:rsid w:val="63876372"/>
    <w:rsid w:val="66F86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toa heading"/>
    <w:basedOn w:val="1"/>
    <w:next w:val="1"/>
    <w:qFormat/>
    <w:uiPriority w:val="0"/>
    <w:rPr>
      <w:rFonts w:ascii="Arial" w:hAnsi="Arial"/>
    </w:rPr>
  </w:style>
  <w:style w:type="paragraph" w:styleId="5">
    <w:name w:val="Body Text"/>
    <w:basedOn w:val="1"/>
    <w:next w:val="1"/>
    <w:qFormat/>
    <w:uiPriority w:val="99"/>
    <w:rPr>
      <w:color w:val="993300"/>
      <w:sz w:val="24"/>
    </w:rPr>
  </w:style>
  <w:style w:type="paragraph" w:styleId="6">
    <w:name w:val="Body Text Indent"/>
    <w:basedOn w:val="1"/>
    <w:qFormat/>
    <w:uiPriority w:val="0"/>
    <w:pPr>
      <w:ind w:firstLine="480"/>
    </w:pPr>
    <w:rPr>
      <w:rFonts w:ascii="宋体" w:hAnsi="宋体"/>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able of figures"/>
    <w:basedOn w:val="1"/>
    <w:next w:val="1"/>
    <w:qFormat/>
    <w:uiPriority w:val="0"/>
    <w:pPr>
      <w:spacing w:line="360" w:lineRule="auto"/>
      <w:ind w:hanging="200"/>
    </w:pPr>
    <w:rPr>
      <w:rFonts w:ascii="宋体"/>
      <w:kern w:val="0"/>
      <w:sz w:val="20"/>
      <w:szCs w:val="20"/>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2"/>
    <w:basedOn w:val="6"/>
    <w:next w:val="1"/>
    <w:qFormat/>
    <w:uiPriority w:val="0"/>
    <w:pPr>
      <w:ind w:firstLine="420"/>
    </w:p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paragraph" w:customStyle="1" w:styleId="16">
    <w:name w:val="普通正文"/>
    <w:basedOn w:val="1"/>
    <w:qFormat/>
    <w:uiPriority w:val="0"/>
    <w:pPr>
      <w:widowControl w:val="0"/>
      <w:adjustRightInd w:val="0"/>
      <w:spacing w:before="120" w:after="120" w:line="360" w:lineRule="auto"/>
      <w:ind w:firstLine="480"/>
    </w:pPr>
    <w:rPr>
      <w:rFonts w:ascii="Arial" w:hAnsi="Arial" w:eastAsia="宋体"/>
      <w:sz w:val="28"/>
    </w:rPr>
  </w:style>
  <w:style w:type="paragraph" w:customStyle="1" w:styleId="17">
    <w:name w:val="文档正文"/>
    <w:basedOn w:val="1"/>
    <w:autoRedefine/>
    <w:qFormat/>
    <w:uiPriority w:val="0"/>
    <w:pPr>
      <w:adjustRightInd w:val="0"/>
      <w:spacing w:line="312" w:lineRule="atLeast"/>
      <w:ind w:firstLine="567"/>
    </w:pPr>
    <w:rPr>
      <w:rFonts w:ascii="长城仿宋" w:hAnsi="Times New Roman" w:eastAsia="长城仿宋"/>
      <w:kern w:val="0"/>
      <w:sz w:val="28"/>
      <w:szCs w:val="20"/>
    </w:rPr>
  </w:style>
  <w:style w:type="paragraph" w:customStyle="1" w:styleId="18">
    <w:name w:val="标书正文"/>
    <w:basedOn w:val="1"/>
    <w:autoRedefine/>
    <w:qFormat/>
    <w:uiPriority w:val="0"/>
    <w:pPr>
      <w:tabs>
        <w:tab w:val="left" w:pos="600"/>
      </w:tabs>
      <w:snapToGrid w:val="0"/>
      <w:spacing w:line="480" w:lineRule="atLeast"/>
      <w:jc w:val="center"/>
    </w:pPr>
    <w:rPr>
      <w:rFonts w:ascii="Times New Roman" w:hAnsi="Times New Roman" w:eastAsia="黑体"/>
      <w:b/>
      <w:sz w:val="3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7793</Words>
  <Characters>7841</Characters>
  <Lines>0</Lines>
  <Paragraphs>0</Paragraphs>
  <TotalTime>1</TotalTime>
  <ScaleCrop>false</ScaleCrop>
  <LinksUpToDate>false</LinksUpToDate>
  <CharactersWithSpaces>8649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2025-04-16T02:17:00Z</dcterms:created>
  <dc:creator>田晶lovelife</dc:creator>
  <cp:lastModifiedBy>零℃寶唄</cp:lastModifiedBy>
  <dcterms:modified xsi:type="dcterms:W3CDTF">2026-07-17T00:48:34Z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C3896144459E4761B6D88B9BC2F1E32B_11</vt:lpwstr>
  </property>
  <property fmtid="{D5CDD505-2E9C-101B-9397-08002B2CF9AE}" pid="4" name="KSOTemplateDocerSaveRecord">
    <vt:lpwstr>eyJoZGlkIjoiZDg2MTVhNTI2NGMwOWYwYzhjYTBlNTkxNDcyYzkyMjUiLCJ1c2VySWQiOiIzMjA4Mzg3MDMifQ==</vt:lpwstr>
  </property>
</Properties>
</file>