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西安市艺术学校</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西安市艺术学校</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2026年06月25日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学生生活设施购置项目（房屋修缮）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工程</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400,000.00</w:t>
      </w:r>
      <w:r>
        <w:rPr>
          <w:rFonts w:ascii="仿宋_GB2312" w:hAnsi="仿宋_GB2312" w:cs="仿宋_GB2312" w:eastAsia="仿宋_GB2312"/>
        </w:rPr>
        <w:t>元 ，大写（人民币）：</w:t>
      </w:r>
      <w:r>
        <w:rPr>
          <w:rFonts w:ascii="仿宋_GB2312" w:hAnsi="仿宋_GB2312" w:cs="仿宋_GB2312" w:eastAsia="仿宋_GB2312"/>
        </w:rPr>
        <w:t>肆拾万元整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因公寓、食堂使用年限较长，墙体常年风化，出现大面积墙皮起翘、脱落问题，掉落的墙皮碎片严重威胁课间活动学生的人身安全。为严守校园安全管理底线，防范意外事故发生，现拟对脱落墙面进行全面修缮整治。</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竞争性磋商</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学生生活设施购置项目（房屋修缮）</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400,000.00</w:t>
      </w:r>
      <w:r>
        <w:rPr>
          <w:rFonts w:ascii="仿宋_GB2312" w:hAnsi="仿宋_GB2312" w:cs="仿宋_GB2312" w:eastAsia="仿宋_GB2312"/>
        </w:rPr>
        <w:t xml:space="preserve"> ，大写（人民币）： </w:t>
      </w:r>
      <w:r>
        <w:rPr>
          <w:rFonts w:ascii="仿宋_GB2312" w:hAnsi="仿宋_GB2312" w:cs="仿宋_GB2312" w:eastAsia="仿宋_GB2312"/>
        </w:rPr>
        <w:t>肆拾万元整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386,881.30</w:t>
      </w:r>
      <w:r>
        <w:rPr>
          <w:rFonts w:ascii="仿宋_GB2312" w:hAnsi="仿宋_GB2312" w:cs="仿宋_GB2312" w:eastAsia="仿宋_GB2312"/>
        </w:rPr>
        <w:t xml:space="preserve"> ，大写（人民币）： </w:t>
      </w:r>
      <w:r>
        <w:rPr>
          <w:rFonts w:ascii="仿宋_GB2312" w:hAnsi="仿宋_GB2312" w:cs="仿宋_GB2312" w:eastAsia="仿宋_GB2312"/>
        </w:rPr>
        <w:t>叁拾捌万陆仟捌佰捌拾壹元叁角</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其他建筑工程</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学生生活设施房屋修缮</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400,000.00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400,000.00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建筑业</w:t>
            </w:r>
          </w:p>
        </w:tc>
      </w:tr>
    </w:tbl>
    <w:p>
      <w:pPr>
        <w:pStyle w:val="null3"/>
      </w:pPr>
      <w:r>
        <w:rPr>
          <w:rFonts w:ascii="仿宋_GB2312" w:hAnsi="仿宋_GB2312" w:cs="仿宋_GB2312" w:eastAsia="仿宋_GB2312"/>
        </w:rPr>
        <w:t>标的名称：学生生活设施房屋修缮</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p>
            <w:pPr>
              <w:pStyle w:val="null3"/>
              <w:ind w:left="420" w:firstLine="3"/>
              <w:jc w:val="left"/>
            </w:pPr>
            <w:r>
              <w:rPr>
                <w:rFonts w:ascii="仿宋_GB2312" w:hAnsi="仿宋_GB2312" w:cs="仿宋_GB2312" w:eastAsia="仿宋_GB2312"/>
                <w:sz w:val="28"/>
                <w:b/>
              </w:rPr>
              <w:t>1.工程概况</w:t>
            </w:r>
          </w:p>
          <w:p>
            <w:pPr>
              <w:pStyle w:val="null3"/>
              <w:ind w:left="420"/>
              <w:jc w:val="both"/>
            </w:pPr>
            <w:r>
              <w:rPr>
                <w:rFonts w:ascii="仿宋_GB2312" w:hAnsi="仿宋_GB2312" w:cs="仿宋_GB2312" w:eastAsia="仿宋_GB2312"/>
                <w:sz w:val="28"/>
              </w:rPr>
              <w:t>1.1建设单位：</w:t>
            </w:r>
            <w:r>
              <w:rPr>
                <w:rFonts w:ascii="仿宋_GB2312" w:hAnsi="仿宋_GB2312" w:cs="仿宋_GB2312" w:eastAsia="仿宋_GB2312"/>
                <w:sz w:val="28"/>
              </w:rPr>
              <w:t>西安市艺术学校</w:t>
            </w:r>
          </w:p>
          <w:p>
            <w:pPr>
              <w:pStyle w:val="null3"/>
              <w:ind w:left="420" w:firstLine="2"/>
              <w:jc w:val="both"/>
            </w:pPr>
            <w:r>
              <w:rPr>
                <w:rFonts w:ascii="仿宋_GB2312" w:hAnsi="仿宋_GB2312" w:cs="仿宋_GB2312" w:eastAsia="仿宋_GB2312"/>
                <w:sz w:val="28"/>
              </w:rPr>
              <w:t>1.2工程名称：西安市艺术学校零星装修项目</w:t>
            </w:r>
          </w:p>
          <w:p>
            <w:pPr>
              <w:pStyle w:val="null3"/>
              <w:ind w:left="420"/>
              <w:jc w:val="both"/>
            </w:pPr>
            <w:r>
              <w:rPr>
                <w:rFonts w:ascii="仿宋_GB2312" w:hAnsi="仿宋_GB2312" w:cs="仿宋_GB2312" w:eastAsia="仿宋_GB2312"/>
                <w:sz w:val="28"/>
              </w:rPr>
              <w:t>1.3工程地点：</w:t>
            </w:r>
            <w:r>
              <w:rPr>
                <w:rFonts w:ascii="仿宋_GB2312" w:hAnsi="仿宋_GB2312" w:cs="仿宋_GB2312" w:eastAsia="仿宋_GB2312"/>
                <w:sz w:val="28"/>
              </w:rPr>
              <w:t>陕西省西安市</w:t>
            </w:r>
          </w:p>
          <w:p>
            <w:pPr>
              <w:pStyle w:val="null3"/>
              <w:ind w:left="420" w:firstLine="3"/>
              <w:jc w:val="left"/>
            </w:pPr>
            <w:r>
              <w:rPr>
                <w:rFonts w:ascii="仿宋_GB2312" w:hAnsi="仿宋_GB2312" w:cs="仿宋_GB2312" w:eastAsia="仿宋_GB2312"/>
                <w:sz w:val="28"/>
                <w:b/>
              </w:rPr>
              <w:t>2</w:t>
            </w:r>
            <w:r>
              <w:rPr>
                <w:rFonts w:ascii="仿宋_GB2312" w:hAnsi="仿宋_GB2312" w:cs="仿宋_GB2312" w:eastAsia="仿宋_GB2312"/>
                <w:sz w:val="28"/>
                <w:b/>
              </w:rPr>
              <w:t>.编制依据</w:t>
            </w:r>
          </w:p>
          <w:p>
            <w:pPr>
              <w:pStyle w:val="null3"/>
              <w:ind w:left="420"/>
              <w:jc w:val="both"/>
            </w:pPr>
            <w:r>
              <w:rPr>
                <w:rFonts w:ascii="仿宋_GB2312" w:hAnsi="仿宋_GB2312" w:cs="仿宋_GB2312" w:eastAsia="仿宋_GB2312"/>
                <w:sz w:val="28"/>
              </w:rPr>
              <w:t>2</w:t>
            </w:r>
            <w:r>
              <w:rPr>
                <w:rFonts w:ascii="仿宋_GB2312" w:hAnsi="仿宋_GB2312" w:cs="仿宋_GB2312" w:eastAsia="仿宋_GB2312"/>
                <w:sz w:val="28"/>
              </w:rPr>
              <w:t>.1</w:t>
            </w:r>
            <w:r>
              <w:rPr>
                <w:rFonts w:ascii="仿宋_GB2312" w:hAnsi="仿宋_GB2312" w:cs="仿宋_GB2312" w:eastAsia="仿宋_GB2312"/>
                <w:sz w:val="28"/>
              </w:rPr>
              <w:t>陕西省建设工程工程量清单计价标准</w:t>
            </w:r>
            <w:r>
              <w:rPr>
                <w:rFonts w:ascii="仿宋_GB2312" w:hAnsi="仿宋_GB2312" w:cs="仿宋_GB2312" w:eastAsia="仿宋_GB2312"/>
                <w:sz w:val="28"/>
              </w:rPr>
              <w:t>DB61/T5126-2025</w:t>
            </w:r>
            <w:r>
              <w:rPr>
                <w:rFonts w:ascii="仿宋_GB2312" w:hAnsi="仿宋_GB2312" w:cs="仿宋_GB2312" w:eastAsia="仿宋_GB2312"/>
                <w:sz w:val="28"/>
              </w:rPr>
              <w:t>。</w:t>
            </w:r>
          </w:p>
          <w:p>
            <w:pPr>
              <w:pStyle w:val="null3"/>
              <w:ind w:left="420"/>
              <w:jc w:val="both"/>
            </w:pPr>
            <w:r>
              <w:rPr>
                <w:rFonts w:ascii="仿宋_GB2312" w:hAnsi="仿宋_GB2312" w:cs="仿宋_GB2312" w:eastAsia="仿宋_GB2312"/>
                <w:sz w:val="28"/>
              </w:rPr>
              <w:t>2</w:t>
            </w:r>
            <w:r>
              <w:rPr>
                <w:rFonts w:ascii="仿宋_GB2312" w:hAnsi="仿宋_GB2312" w:cs="仿宋_GB2312" w:eastAsia="仿宋_GB2312"/>
                <w:sz w:val="28"/>
              </w:rPr>
              <w:t>.2国家、省建设主管部门颁发的计价依据和办法。陕西省工程建设标准《房屋建筑与装饰工程工程量计算标准》（</w:t>
            </w:r>
            <w:r>
              <w:rPr>
                <w:rFonts w:ascii="仿宋_GB2312" w:hAnsi="仿宋_GB2312" w:cs="仿宋_GB2312" w:eastAsia="仿宋_GB2312"/>
                <w:sz w:val="28"/>
              </w:rPr>
              <w:t>2025）、陕西省工程建设标准《建设工程工程量清单计价标准》（2025）、陕西省工程建设标准《通用安装工程工程量计算标准(2025)、</w:t>
            </w:r>
            <w:r>
              <w:rPr>
                <w:rFonts w:ascii="仿宋_GB2312" w:hAnsi="仿宋_GB2312" w:cs="仿宋_GB2312" w:eastAsia="仿宋_GB2312"/>
                <w:sz w:val="28"/>
              </w:rPr>
              <w:t>陕西省建设工程费用规则（</w:t>
            </w:r>
            <w:r>
              <w:rPr>
                <w:rFonts w:ascii="仿宋_GB2312" w:hAnsi="仿宋_GB2312" w:cs="仿宋_GB2312" w:eastAsia="仿宋_GB2312"/>
                <w:sz w:val="28"/>
              </w:rPr>
              <w:t>2025）。</w:t>
            </w:r>
          </w:p>
          <w:p>
            <w:pPr>
              <w:pStyle w:val="null3"/>
              <w:ind w:left="420"/>
              <w:jc w:val="both"/>
            </w:pPr>
            <w:r>
              <w:rPr>
                <w:rFonts w:ascii="仿宋_GB2312" w:hAnsi="仿宋_GB2312" w:cs="仿宋_GB2312" w:eastAsia="仿宋_GB2312"/>
                <w:sz w:val="28"/>
              </w:rPr>
              <w:t>2</w:t>
            </w:r>
            <w:r>
              <w:rPr>
                <w:rFonts w:ascii="仿宋_GB2312" w:hAnsi="仿宋_GB2312" w:cs="仿宋_GB2312" w:eastAsia="仿宋_GB2312"/>
                <w:sz w:val="28"/>
              </w:rPr>
              <w:t>.</w:t>
            </w:r>
            <w:r>
              <w:rPr>
                <w:rFonts w:ascii="仿宋_GB2312" w:hAnsi="仿宋_GB2312" w:cs="仿宋_GB2312" w:eastAsia="仿宋_GB2312"/>
                <w:sz w:val="28"/>
              </w:rPr>
              <w:t>3</w:t>
            </w:r>
            <w:r>
              <w:rPr>
                <w:rFonts w:ascii="仿宋_GB2312" w:hAnsi="仿宋_GB2312" w:cs="仿宋_GB2312" w:eastAsia="仿宋_GB2312"/>
                <w:sz w:val="28"/>
              </w:rPr>
              <w:t>与建设工程项目有关的标准、规范、技术资料，现行有关法律、法规。</w:t>
            </w:r>
          </w:p>
          <w:p>
            <w:pPr>
              <w:pStyle w:val="null3"/>
              <w:ind w:left="420"/>
              <w:jc w:val="both"/>
            </w:pPr>
            <w:r>
              <w:rPr>
                <w:rFonts w:ascii="仿宋_GB2312" w:hAnsi="仿宋_GB2312" w:cs="仿宋_GB2312" w:eastAsia="仿宋_GB2312"/>
                <w:sz w:val="28"/>
              </w:rPr>
              <w:t>2</w:t>
            </w:r>
            <w:r>
              <w:rPr>
                <w:rFonts w:ascii="仿宋_GB2312" w:hAnsi="仿宋_GB2312" w:cs="仿宋_GB2312" w:eastAsia="仿宋_GB2312"/>
                <w:sz w:val="28"/>
              </w:rPr>
              <w:t>.</w:t>
            </w:r>
            <w:r>
              <w:rPr>
                <w:rFonts w:ascii="仿宋_GB2312" w:hAnsi="仿宋_GB2312" w:cs="仿宋_GB2312" w:eastAsia="仿宋_GB2312"/>
                <w:sz w:val="28"/>
              </w:rPr>
              <w:t>4</w:t>
            </w:r>
            <w:r>
              <w:rPr>
                <w:rFonts w:ascii="仿宋_GB2312" w:hAnsi="仿宋_GB2312" w:cs="仿宋_GB2312" w:eastAsia="仿宋_GB2312"/>
                <w:sz w:val="28"/>
              </w:rPr>
              <w:t>本工程</w:t>
            </w:r>
            <w:r>
              <w:rPr>
                <w:rFonts w:ascii="仿宋_GB2312" w:hAnsi="仿宋_GB2312" w:cs="仿宋_GB2312" w:eastAsia="仿宋_GB2312"/>
                <w:sz w:val="28"/>
              </w:rPr>
              <w:t>招标文件</w:t>
            </w:r>
            <w:r>
              <w:rPr>
                <w:rFonts w:ascii="仿宋_GB2312" w:hAnsi="仿宋_GB2312" w:cs="仿宋_GB2312" w:eastAsia="仿宋_GB2312"/>
                <w:sz w:val="28"/>
              </w:rPr>
              <w:t>对工程量清单编制的相关要求。</w:t>
            </w:r>
          </w:p>
          <w:p>
            <w:pPr>
              <w:pStyle w:val="null3"/>
              <w:ind w:left="420"/>
              <w:jc w:val="both"/>
            </w:pPr>
            <w:r>
              <w:rPr>
                <w:rFonts w:ascii="仿宋_GB2312" w:hAnsi="仿宋_GB2312" w:cs="仿宋_GB2312" w:eastAsia="仿宋_GB2312"/>
                <w:sz w:val="28"/>
              </w:rPr>
              <w:t>2</w:t>
            </w:r>
            <w:r>
              <w:rPr>
                <w:rFonts w:ascii="仿宋_GB2312" w:hAnsi="仿宋_GB2312" w:cs="仿宋_GB2312" w:eastAsia="仿宋_GB2312"/>
                <w:sz w:val="28"/>
              </w:rPr>
              <w:t>.</w:t>
            </w:r>
            <w:r>
              <w:rPr>
                <w:rFonts w:ascii="仿宋_GB2312" w:hAnsi="仿宋_GB2312" w:cs="仿宋_GB2312" w:eastAsia="仿宋_GB2312"/>
                <w:sz w:val="28"/>
              </w:rPr>
              <w:t>5</w:t>
            </w:r>
            <w:r>
              <w:rPr>
                <w:rFonts w:ascii="仿宋_GB2312" w:hAnsi="仿宋_GB2312" w:cs="仿宋_GB2312" w:eastAsia="仿宋_GB2312"/>
                <w:sz w:val="28"/>
              </w:rPr>
              <w:t>工程清单项目特征中注明做法的，其工程内容为做法所含全部内容，未注明做法的，其工程内容同《计算标准》对应项工程内容。</w:t>
            </w:r>
          </w:p>
          <w:p>
            <w:pPr>
              <w:pStyle w:val="null3"/>
              <w:ind w:left="420"/>
              <w:jc w:val="both"/>
            </w:pPr>
            <w:r>
              <w:rPr>
                <w:rFonts w:ascii="仿宋_GB2312" w:hAnsi="仿宋_GB2312" w:cs="仿宋_GB2312" w:eastAsia="仿宋_GB2312"/>
                <w:sz w:val="28"/>
              </w:rPr>
              <w:t>2</w:t>
            </w:r>
            <w:r>
              <w:rPr>
                <w:rFonts w:ascii="仿宋_GB2312" w:hAnsi="仿宋_GB2312" w:cs="仿宋_GB2312" w:eastAsia="仿宋_GB2312"/>
                <w:sz w:val="28"/>
              </w:rPr>
              <w:t>.</w:t>
            </w:r>
            <w:r>
              <w:rPr>
                <w:rFonts w:ascii="仿宋_GB2312" w:hAnsi="仿宋_GB2312" w:cs="仿宋_GB2312" w:eastAsia="仿宋_GB2312"/>
                <w:sz w:val="28"/>
              </w:rPr>
              <w:t>6</w:t>
            </w:r>
            <w:r>
              <w:rPr>
                <w:rFonts w:ascii="仿宋_GB2312" w:hAnsi="仿宋_GB2312" w:cs="仿宋_GB2312" w:eastAsia="仿宋_GB2312"/>
                <w:sz w:val="28"/>
              </w:rPr>
              <w:t>工程量清单采用广联达</w:t>
            </w:r>
            <w:r>
              <w:rPr>
                <w:rFonts w:ascii="仿宋_GB2312" w:hAnsi="仿宋_GB2312" w:cs="仿宋_GB2312" w:eastAsia="仿宋_GB2312"/>
                <w:sz w:val="28"/>
              </w:rPr>
              <w:t>GCCP</w:t>
            </w:r>
            <w:r>
              <w:rPr>
                <w:rFonts w:ascii="仿宋_GB2312" w:hAnsi="仿宋_GB2312" w:cs="仿宋_GB2312" w:eastAsia="仿宋_GB2312"/>
                <w:sz w:val="28"/>
              </w:rPr>
              <w:t>7</w:t>
            </w:r>
            <w:r>
              <w:rPr>
                <w:rFonts w:ascii="仿宋_GB2312" w:hAnsi="仿宋_GB2312" w:cs="仿宋_GB2312" w:eastAsia="仿宋_GB2312"/>
                <w:sz w:val="28"/>
              </w:rPr>
              <w:t>.0编制，版本为</w:t>
            </w:r>
            <w:r>
              <w:rPr>
                <w:rFonts w:ascii="仿宋_GB2312" w:hAnsi="仿宋_GB2312" w:cs="仿宋_GB2312" w:eastAsia="仿宋_GB2312"/>
                <w:sz w:val="28"/>
              </w:rPr>
              <w:t>7.5000.23.2</w:t>
            </w:r>
            <w:r>
              <w:rPr>
                <w:rFonts w:ascii="仿宋_GB2312" w:hAnsi="仿宋_GB2312" w:cs="仿宋_GB2312" w:eastAsia="仿宋_GB2312"/>
                <w:sz w:val="28"/>
              </w:rPr>
              <w:t>。</w:t>
            </w:r>
          </w:p>
          <w:p>
            <w:pPr>
              <w:pStyle w:val="null3"/>
              <w:ind w:firstLine="281"/>
              <w:jc w:val="left"/>
            </w:pPr>
            <w:r>
              <w:rPr>
                <w:rFonts w:ascii="仿宋_GB2312" w:hAnsi="仿宋_GB2312" w:cs="仿宋_GB2312" w:eastAsia="仿宋_GB2312"/>
                <w:sz w:val="28"/>
                <w:b/>
              </w:rPr>
              <w:t>3</w:t>
            </w:r>
            <w:r>
              <w:rPr>
                <w:rFonts w:ascii="仿宋_GB2312" w:hAnsi="仿宋_GB2312" w:cs="仿宋_GB2312" w:eastAsia="仿宋_GB2312"/>
                <w:sz w:val="28"/>
                <w:b/>
              </w:rPr>
              <w:t>.其它</w:t>
            </w:r>
          </w:p>
          <w:p>
            <w:pPr>
              <w:pStyle w:val="null3"/>
              <w:ind w:left="420"/>
              <w:jc w:val="left"/>
            </w:pPr>
            <w:r>
              <w:rPr>
                <w:rFonts w:ascii="仿宋_GB2312" w:hAnsi="仿宋_GB2312" w:cs="仿宋_GB2312" w:eastAsia="仿宋_GB2312"/>
                <w:sz w:val="28"/>
              </w:rPr>
              <w:t>3.1 投标单位</w:t>
            </w:r>
            <w:r>
              <w:rPr>
                <w:rFonts w:ascii="仿宋_GB2312" w:hAnsi="仿宋_GB2312" w:cs="仿宋_GB2312" w:eastAsia="仿宋_GB2312"/>
                <w:sz w:val="28"/>
              </w:rPr>
              <w:t>投标是应</w:t>
            </w:r>
            <w:r>
              <w:rPr>
                <w:rFonts w:ascii="仿宋_GB2312" w:hAnsi="仿宋_GB2312" w:cs="仿宋_GB2312" w:eastAsia="仿宋_GB2312"/>
                <w:sz w:val="28"/>
              </w:rPr>
              <w:t>综合考虑材料上楼、下楼及成品保护费用</w:t>
            </w:r>
            <w:r>
              <w:rPr>
                <w:rFonts w:ascii="仿宋_GB2312" w:hAnsi="仿宋_GB2312" w:cs="仿宋_GB2312" w:eastAsia="仿宋_GB2312"/>
                <w:sz w:val="28"/>
              </w:rPr>
              <w:t>并计入总价</w:t>
            </w:r>
            <w:r>
              <w:rPr>
                <w:rFonts w:ascii="仿宋_GB2312" w:hAnsi="仿宋_GB2312" w:cs="仿宋_GB2312" w:eastAsia="仿宋_GB2312"/>
                <w:sz w:val="28"/>
              </w:rPr>
              <w:t>。</w:t>
            </w:r>
          </w:p>
          <w:p>
            <w:pPr>
              <w:pStyle w:val="null3"/>
              <w:ind w:left="420"/>
              <w:jc w:val="left"/>
            </w:pPr>
            <w:r>
              <w:rPr>
                <w:rFonts w:ascii="仿宋_GB2312" w:hAnsi="仿宋_GB2312" w:cs="仿宋_GB2312" w:eastAsia="仿宋_GB2312"/>
                <w:sz w:val="28"/>
              </w:rPr>
              <w:t>（以下无内容）</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供应商需在项目电子化交易系统中按要求填写《响应函》完成承诺并进行电子签章。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关于财务会计制度的证明材料｛注：①可提供XXXX或XXXX年度经审计的财务报告（包含审计报告和审计报告中所涉及的财务报表和报表附注），②可提供XXXX或XXXX年度供应商完整的全套财务报表（应当包括资产负债表、利润表、现金流量表、所有者权益变动表、附注），③可提供截至资格预审申请文件提交截止日一年内银行出具的资信证明，④供应商注册时间截至资格预审申请文件提交截止日不足一年的，也可提供在工商管理部门备案的公司章程。不得要求供应商提供证明财务报告中签字签章人或者第三方机构的身份证明、财务报告中数据信息真实性有效性的证明材料。｝ 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供应商为采购人、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w:t>
            </w:r>
          </w:p>
        </w:tc>
        <w:tc>
          <w:tcPr>
            <w:tcW w:type="dxa" w:w="2769"/>
          </w:tcPr>
          <w:p>
            <w:pPr>
              <w:pStyle w:val="null3"/>
            </w:pPr>
            <w:r>
              <w:rPr>
                <w:rFonts w:ascii="仿宋_GB2312" w:hAnsi="仿宋_GB2312" w:cs="仿宋_GB2312" w:eastAsia="仿宋_GB2312"/>
              </w:rPr>
              <w:t>供应商需在项目电子化交易系统中按要求填写《响应函》完成承诺并进行电子签章。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营业执照等主体资格证明文件</w:t>
            </w:r>
          </w:p>
        </w:tc>
        <w:tc>
          <w:tcPr>
            <w:tcW w:type="dxa" w:w="2769"/>
          </w:tcPr>
          <w:p>
            <w:pPr>
              <w:pStyle w:val="null3"/>
            </w:pPr>
            <w:r>
              <w:rPr>
                <w:rFonts w:ascii="仿宋_GB2312" w:hAnsi="仿宋_GB2312" w:cs="仿宋_GB2312" w:eastAsia="仿宋_GB2312"/>
              </w:rPr>
              <w:t>具有独立承担民事责任能力的法人、其他组织或自然人，并出具合法有效的统一社会信用代码的营业执照或事业单位法人证书等国家规定的相关证明，自然人参与的提供其身份证明</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财务状况</w:t>
            </w:r>
          </w:p>
        </w:tc>
        <w:tc>
          <w:tcPr>
            <w:tcW w:type="dxa" w:w="2769"/>
          </w:tcPr>
          <w:p>
            <w:pPr>
              <w:pStyle w:val="null3"/>
            </w:pPr>
            <w:r>
              <w:rPr>
                <w:rFonts w:ascii="仿宋_GB2312" w:hAnsi="仿宋_GB2312" w:cs="仿宋_GB2312" w:eastAsia="仿宋_GB2312"/>
              </w:rPr>
              <w:t>提供2024或2025年度的财务审计报告（至少包括资产负债表和利润表，成立时间至提交投标文件截止时间不足一年的可提供成立后任意时段的资产负债表），审计报告须具有注册会计师行业统一监管平台（http://acc.mof.gov.cn）赋予的验证码；或磋商前半年内其基本存款账户开户银行出具的资信证明；（以上三种形式的资料提供任何一种即可）</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社会保障资金缴纳证明</w:t>
            </w:r>
          </w:p>
        </w:tc>
        <w:tc>
          <w:tcPr>
            <w:tcW w:type="dxa" w:w="2769"/>
          </w:tcPr>
          <w:p>
            <w:pPr>
              <w:pStyle w:val="null3"/>
            </w:pPr>
            <w:r>
              <w:rPr>
                <w:rFonts w:ascii="仿宋_GB2312" w:hAnsi="仿宋_GB2312" w:cs="仿宋_GB2312" w:eastAsia="仿宋_GB2312"/>
              </w:rPr>
              <w:t>提供磋商截止之日前一年内已缴存的至少一个月的社会保障资金缴存单据或社保机构开具的社会保险参保缴费情况证明，依法不需要缴纳社会保障资金的单位应提供相关证明材料</w:t>
            </w:r>
          </w:p>
        </w:tc>
      </w:tr>
      <w:tr>
        <w:tc>
          <w:tcPr>
            <w:tcW w:type="dxa" w:w="2769"/>
          </w:tcPr>
          <w:p>
            <w:pPr>
              <w:pStyle w:val="null3"/>
            </w:pPr>
            <w:r>
              <w:rPr>
                <w:rFonts w:ascii="仿宋_GB2312" w:hAnsi="仿宋_GB2312" w:cs="仿宋_GB2312" w:eastAsia="仿宋_GB2312"/>
              </w:rPr>
              <w:t>4</w:t>
            </w:r>
          </w:p>
        </w:tc>
        <w:tc>
          <w:tcPr>
            <w:tcW w:type="dxa" w:w="2769"/>
          </w:tcPr>
          <w:p>
            <w:pPr>
              <w:pStyle w:val="null3"/>
            </w:pPr>
            <w:r>
              <w:rPr>
                <w:rFonts w:ascii="仿宋_GB2312" w:hAnsi="仿宋_GB2312" w:cs="仿宋_GB2312" w:eastAsia="仿宋_GB2312"/>
              </w:rPr>
              <w:t>税收缴纳证明</w:t>
            </w:r>
          </w:p>
        </w:tc>
        <w:tc>
          <w:tcPr>
            <w:tcW w:type="dxa" w:w="2769"/>
          </w:tcPr>
          <w:p>
            <w:pPr>
              <w:pStyle w:val="null3"/>
            </w:pPr>
            <w:r>
              <w:rPr>
                <w:rFonts w:ascii="仿宋_GB2312" w:hAnsi="仿宋_GB2312" w:cs="仿宋_GB2312" w:eastAsia="仿宋_GB2312"/>
              </w:rPr>
              <w:t>提供磋商截止之日前一年内已缴纳的至少一个月的纳税证明或完税证明（任意税种），依法免税的单位应提供相关证明材料</w:t>
            </w:r>
          </w:p>
        </w:tc>
      </w:tr>
      <w:tr>
        <w:tc>
          <w:tcPr>
            <w:tcW w:type="dxa" w:w="2769"/>
          </w:tcPr>
          <w:p>
            <w:pPr>
              <w:pStyle w:val="null3"/>
            </w:pPr>
            <w:r>
              <w:rPr>
                <w:rFonts w:ascii="仿宋_GB2312" w:hAnsi="仿宋_GB2312" w:cs="仿宋_GB2312" w:eastAsia="仿宋_GB2312"/>
              </w:rPr>
              <w:t>5</w:t>
            </w:r>
          </w:p>
        </w:tc>
        <w:tc>
          <w:tcPr>
            <w:tcW w:type="dxa" w:w="2769"/>
          </w:tcPr>
          <w:p>
            <w:pPr>
              <w:pStyle w:val="null3"/>
            </w:pPr>
            <w:r>
              <w:rPr>
                <w:rFonts w:ascii="仿宋_GB2312" w:hAnsi="仿宋_GB2312" w:cs="仿宋_GB2312" w:eastAsia="仿宋_GB2312"/>
              </w:rPr>
              <w:t>法定代表人授权书或法定代表人证明书</w:t>
            </w:r>
          </w:p>
        </w:tc>
        <w:tc>
          <w:tcPr>
            <w:tcW w:type="dxa" w:w="2769"/>
          </w:tcPr>
          <w:p>
            <w:pPr>
              <w:pStyle w:val="null3"/>
            </w:pPr>
            <w:r>
              <w:rPr>
                <w:rFonts w:ascii="仿宋_GB2312" w:hAnsi="仿宋_GB2312" w:cs="仿宋_GB2312" w:eastAsia="仿宋_GB2312"/>
              </w:rPr>
              <w:t>法定代表人（主要负责人）委托代理人参加磋商时，应提供法定代表人（主要负责人）委托授权书；法定代表人（主要负责人）亲自参加磋商时，应提供法定代表人（主要负责人）身份证明书</w:t>
            </w:r>
          </w:p>
        </w:tc>
      </w:tr>
      <w:tr>
        <w:tc>
          <w:tcPr>
            <w:tcW w:type="dxa" w:w="2769"/>
          </w:tcPr>
          <w:p>
            <w:pPr>
              <w:pStyle w:val="null3"/>
            </w:pPr>
            <w:r>
              <w:rPr>
                <w:rFonts w:ascii="仿宋_GB2312" w:hAnsi="仿宋_GB2312" w:cs="仿宋_GB2312" w:eastAsia="仿宋_GB2312"/>
              </w:rPr>
              <w:t>6</w:t>
            </w:r>
          </w:p>
        </w:tc>
        <w:tc>
          <w:tcPr>
            <w:tcW w:type="dxa" w:w="2769"/>
          </w:tcPr>
          <w:p>
            <w:pPr>
              <w:pStyle w:val="null3"/>
            </w:pPr>
            <w:r>
              <w:rPr>
                <w:rFonts w:ascii="仿宋_GB2312" w:hAnsi="仿宋_GB2312" w:cs="仿宋_GB2312" w:eastAsia="仿宋_GB2312"/>
              </w:rPr>
              <w:t>企业资质要求</w:t>
            </w:r>
          </w:p>
        </w:tc>
        <w:tc>
          <w:tcPr>
            <w:tcW w:type="dxa" w:w="2769"/>
          </w:tcPr>
          <w:p>
            <w:pPr>
              <w:pStyle w:val="null3"/>
            </w:pPr>
            <w:r>
              <w:rPr>
                <w:rFonts w:ascii="仿宋_GB2312" w:hAnsi="仿宋_GB2312" w:cs="仿宋_GB2312" w:eastAsia="仿宋_GB2312"/>
              </w:rPr>
              <w:t>供应商应具备建设行政主管部门颁发合法有效的建筑工程施工总承包三级及以上资质或建筑装修装饰工程专业承包二级及以上资质，且具备建设行政主管部门颁发的有效的企业安全生产许可证</w:t>
            </w:r>
          </w:p>
        </w:tc>
      </w:tr>
      <w:tr>
        <w:tc>
          <w:tcPr>
            <w:tcW w:type="dxa" w:w="2769"/>
          </w:tcPr>
          <w:p>
            <w:pPr>
              <w:pStyle w:val="null3"/>
            </w:pPr>
            <w:r>
              <w:rPr>
                <w:rFonts w:ascii="仿宋_GB2312" w:hAnsi="仿宋_GB2312" w:cs="仿宋_GB2312" w:eastAsia="仿宋_GB2312"/>
              </w:rPr>
              <w:t>7</w:t>
            </w:r>
          </w:p>
        </w:tc>
        <w:tc>
          <w:tcPr>
            <w:tcW w:type="dxa" w:w="2769"/>
          </w:tcPr>
          <w:p>
            <w:pPr>
              <w:pStyle w:val="null3"/>
            </w:pPr>
            <w:r>
              <w:rPr>
                <w:rFonts w:ascii="仿宋_GB2312" w:hAnsi="仿宋_GB2312" w:cs="仿宋_GB2312" w:eastAsia="仿宋_GB2312"/>
              </w:rPr>
              <w:t>拟派项目负责人资格要求</w:t>
            </w:r>
          </w:p>
        </w:tc>
        <w:tc>
          <w:tcPr>
            <w:tcW w:type="dxa" w:w="2769"/>
          </w:tcPr>
          <w:p>
            <w:pPr>
              <w:pStyle w:val="null3"/>
            </w:pPr>
            <w:r>
              <w:rPr>
                <w:rFonts w:ascii="仿宋_GB2312" w:hAnsi="仿宋_GB2312" w:cs="仿宋_GB2312" w:eastAsia="仿宋_GB2312"/>
              </w:rPr>
              <w:t>拟派项目经理具备建筑工程二级及以上注册建造师证书，同时具备安全生产考核合格证书（B级），并在本单位注册且无在建工程，（提供无在建承诺）</w:t>
            </w:r>
          </w:p>
        </w:tc>
      </w:tr>
      <w:tr>
        <w:tc>
          <w:tcPr>
            <w:tcW w:type="dxa" w:w="2769"/>
          </w:tcPr>
          <w:p>
            <w:pPr>
              <w:pStyle w:val="null3"/>
            </w:pPr>
            <w:r>
              <w:rPr>
                <w:rFonts w:ascii="仿宋_GB2312" w:hAnsi="仿宋_GB2312" w:cs="仿宋_GB2312" w:eastAsia="仿宋_GB2312"/>
              </w:rPr>
              <w:t>8</w:t>
            </w:r>
          </w:p>
        </w:tc>
        <w:tc>
          <w:tcPr>
            <w:tcW w:type="dxa" w:w="2769"/>
          </w:tcPr>
          <w:p>
            <w:pPr>
              <w:pStyle w:val="null3"/>
            </w:pPr>
            <w:r>
              <w:rPr>
                <w:rFonts w:ascii="仿宋_GB2312" w:hAnsi="仿宋_GB2312" w:cs="仿宋_GB2312" w:eastAsia="仿宋_GB2312"/>
              </w:rPr>
              <w:t>外地企业提供在“陕西省建筑市场监管与诚信信息一体化平台”上登记的基本信息界面截图</w:t>
            </w:r>
          </w:p>
        </w:tc>
        <w:tc>
          <w:tcPr>
            <w:tcW w:type="dxa" w:w="2769"/>
          </w:tcPr>
          <w:p>
            <w:pPr>
              <w:pStyle w:val="null3"/>
            </w:pPr>
            <w:r>
              <w:rPr>
                <w:rFonts w:ascii="仿宋_GB2312" w:hAnsi="仿宋_GB2312" w:cs="仿宋_GB2312" w:eastAsia="仿宋_GB2312"/>
              </w:rPr>
              <w:t>外地企业提供在“陕西省建筑市场监管与诚信信息一体化平台”上登记的基本信息界面截图</w:t>
            </w:r>
          </w:p>
        </w:tc>
      </w:tr>
      <w:tr>
        <w:tc>
          <w:tcPr>
            <w:tcW w:type="dxa" w:w="2769"/>
          </w:tcPr>
          <w:p>
            <w:pPr>
              <w:pStyle w:val="null3"/>
            </w:pPr>
            <w:r>
              <w:rPr>
                <w:rFonts w:ascii="仿宋_GB2312" w:hAnsi="仿宋_GB2312" w:cs="仿宋_GB2312" w:eastAsia="仿宋_GB2312"/>
              </w:rPr>
              <w:t>9</w:t>
            </w:r>
          </w:p>
        </w:tc>
        <w:tc>
          <w:tcPr>
            <w:tcW w:type="dxa" w:w="2769"/>
          </w:tcPr>
          <w:p>
            <w:pPr>
              <w:pStyle w:val="null3"/>
            </w:pPr>
            <w:r>
              <w:rPr>
                <w:rFonts w:ascii="仿宋_GB2312" w:hAnsi="仿宋_GB2312" w:cs="仿宋_GB2312" w:eastAsia="仿宋_GB2312"/>
              </w:rPr>
              <w:t>信用记录</w:t>
            </w:r>
          </w:p>
        </w:tc>
        <w:tc>
          <w:tcPr>
            <w:tcW w:type="dxa" w:w="2769"/>
          </w:tcPr>
          <w:p>
            <w:pPr>
              <w:pStyle w:val="null3"/>
            </w:pPr>
            <w:r>
              <w:rPr>
                <w:rFonts w:ascii="仿宋_GB2312" w:hAnsi="仿宋_GB2312" w:cs="仿宋_GB2312" w:eastAsia="仿宋_GB2312"/>
              </w:rPr>
              <w:t>投标供应商在磋商截止时间前不得为“信用中国”网站（www.creditchina.gov.cn ）（页面跳转至“中国执行信息网”http://zxgk.court.gov.cn/shixin）已列入失信被执行人和重大税收违法失信主体的投标供应商，不得为“中国政府采购网”（ww w.ccgp.gov.cn）已列入政府采购严重违法失信行为记录名单的投标供应商；（供应商无须提供，磋商现场查询）</w:t>
            </w:r>
          </w:p>
        </w:tc>
      </w:tr>
      <w:tr>
        <w:tc>
          <w:tcPr>
            <w:tcW w:type="dxa" w:w="2769"/>
          </w:tcPr>
          <w:p>
            <w:pPr>
              <w:pStyle w:val="null3"/>
            </w:pPr>
            <w:r>
              <w:rPr>
                <w:rFonts w:ascii="仿宋_GB2312" w:hAnsi="仿宋_GB2312" w:cs="仿宋_GB2312" w:eastAsia="仿宋_GB2312"/>
              </w:rPr>
              <w:t>10</w:t>
            </w:r>
          </w:p>
        </w:tc>
        <w:tc>
          <w:tcPr>
            <w:tcW w:type="dxa" w:w="2769"/>
          </w:tcPr>
          <w:p>
            <w:pPr>
              <w:pStyle w:val="null3"/>
            </w:pPr>
            <w:r>
              <w:rPr>
                <w:rFonts w:ascii="仿宋_GB2312" w:hAnsi="仿宋_GB2312" w:cs="仿宋_GB2312" w:eastAsia="仿宋_GB2312"/>
              </w:rPr>
              <w:t>中小企业声明函</w:t>
            </w:r>
          </w:p>
        </w:tc>
        <w:tc>
          <w:tcPr>
            <w:tcW w:type="dxa" w:w="2769"/>
          </w:tcPr>
          <w:p>
            <w:pPr>
              <w:pStyle w:val="null3"/>
            </w:pPr>
            <w:r>
              <w:rPr>
                <w:rFonts w:ascii="仿宋_GB2312" w:hAnsi="仿宋_GB2312" w:cs="仿宋_GB2312" w:eastAsia="仿宋_GB2312"/>
              </w:rPr>
              <w:t>本项目为专门面向中小企业</w:t>
            </w:r>
          </w:p>
        </w:tc>
      </w:tr>
      <w:tr>
        <w:tc>
          <w:tcPr>
            <w:tcW w:type="dxa" w:w="2769"/>
          </w:tcPr>
          <w:p>
            <w:pPr>
              <w:pStyle w:val="null3"/>
            </w:pPr>
            <w:r>
              <w:rPr>
                <w:rFonts w:ascii="仿宋_GB2312" w:hAnsi="仿宋_GB2312" w:cs="仿宋_GB2312" w:eastAsia="仿宋_GB2312"/>
              </w:rPr>
              <w:t>11</w:t>
            </w:r>
          </w:p>
        </w:tc>
        <w:tc>
          <w:tcPr>
            <w:tcW w:type="dxa" w:w="2769"/>
          </w:tcPr>
          <w:p>
            <w:pPr>
              <w:pStyle w:val="null3"/>
            </w:pPr>
            <w:r>
              <w:rPr>
                <w:rFonts w:ascii="仿宋_GB2312" w:hAnsi="仿宋_GB2312" w:cs="仿宋_GB2312" w:eastAsia="仿宋_GB2312"/>
              </w:rPr>
              <w:t>声明函</w:t>
            </w:r>
          </w:p>
        </w:tc>
        <w:tc>
          <w:tcPr>
            <w:tcW w:type="dxa" w:w="2769"/>
          </w:tcPr>
          <w:p>
            <w:pPr>
              <w:pStyle w:val="null3"/>
            </w:pPr>
            <w:r>
              <w:rPr>
                <w:rFonts w:ascii="仿宋_GB2312" w:hAnsi="仿宋_GB2312" w:cs="仿宋_GB2312" w:eastAsia="仿宋_GB2312"/>
              </w:rPr>
              <w:t>本项目不接受联合体投标</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项目的施工方案</w:t>
            </w:r>
          </w:p>
        </w:tc>
        <w:tc>
          <w:tcPr>
            <w:tcW w:type="dxa" w:w="1384"/>
          </w:tcPr>
          <w:p>
            <w:pPr>
              <w:pStyle w:val="null3"/>
            </w:pPr>
            <w:r>
              <w:rPr>
                <w:rFonts w:ascii="仿宋_GB2312" w:hAnsi="仿宋_GB2312" w:cs="仿宋_GB2312" w:eastAsia="仿宋_GB2312"/>
              </w:rPr>
              <w:t>根据施工方案中①公寓改造②食堂改造等方案措施的响应程度赋分。说明：评分标准根据以上单项内容，每项一处内容存在缺陷(包括但不限于存在项目名称错误，地点区域错误，内容与本项目需求无关，方案内容粗略、混乱、无针对性、矛盾或表述前后不一致、仅有框架或标题、适用的标准(方法)错误、明显复制其他项目内容等情形)的扣1分，单项最多扣3分，扣完为止，未提供或提供的内容与本项目不符计0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施工进度及工期保障措施</w:t>
            </w:r>
          </w:p>
        </w:tc>
        <w:tc>
          <w:tcPr>
            <w:tcW w:type="dxa" w:w="1384"/>
          </w:tcPr>
          <w:p>
            <w:pPr>
              <w:pStyle w:val="null3"/>
            </w:pPr>
            <w:r>
              <w:rPr>
                <w:rFonts w:ascii="仿宋_GB2312" w:hAnsi="仿宋_GB2312" w:cs="仿宋_GB2312" w:eastAsia="仿宋_GB2312"/>
              </w:rPr>
              <w:t>根据施工进度中①进度计划和②工期保证等方案措施的响应程度。 说明：评分标准根据以上单项内容，每项一处内容存在缺陷(缺陷包括但不限于存在项目名称错误、地点区域错误、内容与本项目需求无关、方案内容矛盾或表述前后不一致、仅有框架或标题、适用的标准(方法)错误、明显复制其他项目内容等情形)扣1分，单项最多扣3分，扣完为止，未提供或提供的内容与本项目不符计0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施工质量保证措施</w:t>
            </w:r>
          </w:p>
        </w:tc>
        <w:tc>
          <w:tcPr>
            <w:tcW w:type="dxa" w:w="1384"/>
          </w:tcPr>
          <w:p>
            <w:pPr>
              <w:pStyle w:val="null3"/>
            </w:pPr>
            <w:r>
              <w:rPr>
                <w:rFonts w:ascii="仿宋_GB2312" w:hAnsi="仿宋_GB2312" w:cs="仿宋_GB2312" w:eastAsia="仿宋_GB2312"/>
              </w:rPr>
              <w:t>①总体质量控制目标及分阶段施工的重点难点目标②施工准备(技术准备、材料准备、机械准备、机具准备等)③管理机构及劳动力安排(人员配置、职责分工、专业特点等)、④施工平面布置与安排(现场围挡及出入口管理、通行组织安排、消防及道路安排等)等方案措施的响应程度。说明：评分标准根据以上单项内容，每项一处内容存在缺陷(缺陷包括但不限于存在项目名称错误、地点区域错误、内容与本项目需求无关、方案内容矛盾或表述前后不一致、仅有框架或标题、适用的标准(方法)错误、明显复制其他项目内容等情形)扣1分，单项最多扣3分，扣完为止，未提供或提供的内容与本项目不符计0分。</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4</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施工管理</w:t>
            </w:r>
          </w:p>
        </w:tc>
        <w:tc>
          <w:tcPr>
            <w:tcW w:type="dxa" w:w="1384"/>
          </w:tcPr>
          <w:p>
            <w:pPr>
              <w:pStyle w:val="null3"/>
            </w:pPr>
            <w:r>
              <w:rPr>
                <w:rFonts w:ascii="仿宋_GB2312" w:hAnsi="仿宋_GB2312" w:cs="仿宋_GB2312" w:eastAsia="仿宋_GB2312"/>
              </w:rPr>
              <w:t>根据施工管理中①人员管理②成品保护③质量控制管理④突发，应急处理、⑤交付，验收、⑥后续(售后)服务等方案措施的响应程度。 说明：评分标准根据以上单项内容，每项一处内容存在缺陷(缺陷包括但不限于存在项目名称错误、地点区域错误、内容与本项目需求无关、方案内容矛盾或表述前后不一致、仅有框架或标题、适用的标准(方法)错误、明显复制其他项目内容等情形)扣1分，单项最多扣3分，扣完为止，未提供或提供的内容与本项目不符计0分。</w:t>
            </w:r>
          </w:p>
        </w:tc>
        <w:tc>
          <w:tcPr>
            <w:tcW w:type="dxa" w:w="1384"/>
          </w:tcPr>
          <w:p>
            <w:pPr>
              <w:pStyle w:val="null3"/>
              <w:jc w:val="right"/>
            </w:pPr>
            <w:r>
              <w:rPr>
                <w:rFonts w:ascii="仿宋_GB2312" w:hAnsi="仿宋_GB2312" w:cs="仿宋_GB2312" w:eastAsia="仿宋_GB2312"/>
              </w:rPr>
              <w:t>18.0000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5</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确保安全、文明施工的技术组织措施</w:t>
            </w:r>
          </w:p>
        </w:tc>
        <w:tc>
          <w:tcPr>
            <w:tcW w:type="dxa" w:w="1384"/>
          </w:tcPr>
          <w:p>
            <w:pPr>
              <w:pStyle w:val="null3"/>
            </w:pPr>
            <w:r>
              <w:rPr>
                <w:rFonts w:ascii="仿宋_GB2312" w:hAnsi="仿宋_GB2312" w:cs="仿宋_GB2312" w:eastAsia="仿宋_GB2312"/>
              </w:rPr>
              <w:t>结合工程环境、特点分析安全隐患,根据安全、文明施工及环境保护中①安全施工②文明施工③环境保护等方案措施的响应程度。说明：评分标准根据以上单项内容，每项一处内容存在缺陷(缺陷包括但不限于存在项目名称错误、地点区域错误、内容与本项目需求无关、方案内容矛盾或表述前后不一致、仅有框架或标题、适用的标准(方法)错误、明显复制其他项目内容等情形)扣1分，单项最多扣3分，扣完为止，未提供或提供的内容与本项目不符计0分。</w:t>
            </w:r>
          </w:p>
        </w:tc>
        <w:tc>
          <w:tcPr>
            <w:tcW w:type="dxa" w:w="1384"/>
          </w:tcPr>
          <w:p>
            <w:pPr>
              <w:pStyle w:val="null3"/>
              <w:jc w:val="right"/>
            </w:pPr>
            <w:r>
              <w:rPr>
                <w:rFonts w:ascii="仿宋_GB2312" w:hAnsi="仿宋_GB2312" w:cs="仿宋_GB2312" w:eastAsia="仿宋_GB2312"/>
              </w:rPr>
              <w:t>9.0000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6</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主要材料与设备为节能产品</w:t>
            </w:r>
          </w:p>
        </w:tc>
        <w:tc>
          <w:tcPr>
            <w:tcW w:type="dxa" w:w="1384"/>
          </w:tcPr>
          <w:p>
            <w:pPr>
              <w:pStyle w:val="null3"/>
            </w:pPr>
            <w:r>
              <w:rPr>
                <w:rFonts w:ascii="仿宋_GB2312" w:hAnsi="仿宋_GB2312" w:cs="仿宋_GB2312" w:eastAsia="仿宋_GB2312"/>
              </w:rPr>
              <w:t>主要材料与设备为节能产品，每种产品得1分，最高得1分，没有不得分。 (产品名称详见招标文件第二章：落实节能、环保产品政策，属强制节能产品的不再得分，未提供该产品的按无效响应文件处理。)</w:t>
            </w:r>
          </w:p>
        </w:tc>
        <w:tc>
          <w:tcPr>
            <w:tcW w:type="dxa" w:w="1384"/>
          </w:tcPr>
          <w:p>
            <w:pPr>
              <w:pStyle w:val="null3"/>
              <w:jc w:val="right"/>
            </w:pPr>
            <w:r>
              <w:rPr>
                <w:rFonts w:ascii="仿宋_GB2312" w:hAnsi="仿宋_GB2312" w:cs="仿宋_GB2312" w:eastAsia="仿宋_GB2312"/>
              </w:rPr>
              <w:t>1.0000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7</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主要材料与设备为环境标志产品</w:t>
            </w:r>
          </w:p>
        </w:tc>
        <w:tc>
          <w:tcPr>
            <w:tcW w:type="dxa" w:w="1384"/>
          </w:tcPr>
          <w:p>
            <w:pPr>
              <w:pStyle w:val="null3"/>
            </w:pPr>
            <w:r>
              <w:rPr>
                <w:rFonts w:ascii="仿宋_GB2312" w:hAnsi="仿宋_GB2312" w:cs="仿宋_GB2312" w:eastAsia="仿宋_GB2312"/>
              </w:rPr>
              <w:t>每种产品得1分，最高得2分，没有不得分。 (产品名称详见招标文件第二章：落实节能、环保产品政策)</w:t>
            </w:r>
          </w:p>
        </w:tc>
        <w:tc>
          <w:tcPr>
            <w:tcW w:type="dxa" w:w="1384"/>
          </w:tcPr>
          <w:p>
            <w:pPr>
              <w:pStyle w:val="null3"/>
              <w:jc w:val="right"/>
            </w:pPr>
            <w:r>
              <w:rPr>
                <w:rFonts w:ascii="仿宋_GB2312" w:hAnsi="仿宋_GB2312" w:cs="仿宋_GB2312" w:eastAsia="仿宋_GB2312"/>
              </w:rPr>
              <w:t>2.0000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8</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业绩</w:t>
            </w:r>
          </w:p>
        </w:tc>
        <w:tc>
          <w:tcPr>
            <w:tcW w:type="dxa" w:w="1384"/>
          </w:tcPr>
          <w:p>
            <w:pPr>
              <w:pStyle w:val="null3"/>
            </w:pPr>
            <w:r>
              <w:rPr>
                <w:rFonts w:ascii="仿宋_GB2312" w:hAnsi="仿宋_GB2312" w:cs="仿宋_GB2312" w:eastAsia="仿宋_GB2312"/>
              </w:rPr>
              <w:t>根据提供的2023年1月1日至今，（以合同签订日期为准，仅限供应商，提供完整合同）进行评定，每份计1分，最高计6分。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价格分采用低价优先法计算，即满足磋商文件要求且磋商价格最低的磋商报价为评审基准价，其价格分为满分。其他供应商的价格分统一按照下列公式计算：磋商报价得分=（评标基准价/磋商评审价）×40</w:t>
            </w:r>
          </w:p>
        </w:tc>
        <w:tc>
          <w:tcPr>
            <w:tcW w:type="dxa" w:w="1384"/>
          </w:tcPr>
          <w:p>
            <w:pPr>
              <w:pStyle w:val="null3"/>
              <w:jc w:val="right"/>
            </w:pPr>
            <w:r>
              <w:rPr>
                <w:rFonts w:ascii="仿宋_GB2312" w:hAnsi="仿宋_GB2312" w:cs="仿宋_GB2312" w:eastAsia="仿宋_GB2312"/>
              </w:rPr>
              <w:t>40.0000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建设工程合同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25日历天</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陕西省西安市</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分期付款</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预付款，合同签订后，达到付款条件起10个工作日内，支付合同总金额的30.0%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进度款，工程竣工验收合格后，达到付款条件起10个工作日内，支付合同总金额的50.0%</w:t>
      </w:r>
    </w:p>
    <w:p>
      <w:pPr>
        <w:pStyle w:val="null3"/>
        <w:ind w:firstLine="1200"/>
      </w:pPr>
      <w:r>
        <w:rPr>
          <w:rFonts w:ascii="仿宋_GB2312" w:hAnsi="仿宋_GB2312" w:cs="仿宋_GB2312" w:eastAsia="仿宋_GB2312"/>
        </w:rPr>
        <w:t>3、</w:t>
      </w:r>
      <w:r>
        <w:rPr>
          <w:rFonts w:ascii="仿宋_GB2312" w:hAnsi="仿宋_GB2312" w:cs="仿宋_GB2312" w:eastAsia="仿宋_GB2312"/>
        </w:rPr>
        <w:t>进度款，工程竣工结算经审定后，达到付款条件起10个工作日内，支付合同总金额的17.0%</w:t>
      </w:r>
    </w:p>
    <w:p>
      <w:pPr>
        <w:pStyle w:val="null3"/>
        <w:ind w:firstLine="1200"/>
      </w:pPr>
      <w:r>
        <w:rPr>
          <w:rFonts w:ascii="仿宋_GB2312" w:hAnsi="仿宋_GB2312" w:cs="仿宋_GB2312" w:eastAsia="仿宋_GB2312"/>
        </w:rPr>
        <w:t>4、</w:t>
      </w:r>
      <w:r>
        <w:rPr>
          <w:rFonts w:ascii="仿宋_GB2312" w:hAnsi="仿宋_GB2312" w:cs="仿宋_GB2312" w:eastAsia="仿宋_GB2312"/>
        </w:rPr>
        <w:t>进度款，质保期满后，达到付款条件起10个工作日内，支付合同总金额的3.0%</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按照国家行业标准进行验收</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质量保修范围：按照国家相关规定执行； 保修期：本项目竣工验收合格通过之日起1年</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按照采购文件执行</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委托第三方验收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一次性验收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7</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按照采购文件执行</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