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版本号：ZCSP-临渭区-2026-0014320260617001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渭南市临渭区中心敬老院1号楼喷淋及蓄水池改造工程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ZCSP-临渭区-2026-00143</w:t>
      </w:r>
      <w:r>
        <w:br/>
      </w:r>
      <w:r>
        <w:br/>
      </w:r>
      <w:r>
        <w:br/>
      </w:r>
    </w:p>
    <w:p>
      <w:pPr>
        <w:pStyle w:val="null3"/>
        <w:jc w:val="center"/>
        <w:outlineLvl w:val="2"/>
      </w:pPr>
      <w:r>
        <w:rPr>
          <w:rFonts w:ascii="仿宋_GB2312" w:hAnsi="仿宋_GB2312" w:cs="仿宋_GB2312" w:eastAsia="仿宋_GB2312"/>
          <w:sz w:val="28"/>
          <w:b/>
        </w:rPr>
        <w:t>渭南市临渭区民政局</w:t>
      </w:r>
    </w:p>
    <w:p>
      <w:pPr>
        <w:pStyle w:val="null3"/>
        <w:jc w:val="center"/>
        <w:outlineLvl w:val="2"/>
      </w:pPr>
      <w:r>
        <w:rPr>
          <w:rFonts w:ascii="仿宋_GB2312" w:hAnsi="仿宋_GB2312" w:cs="仿宋_GB2312" w:eastAsia="仿宋_GB2312"/>
          <w:sz w:val="28"/>
          <w:b/>
        </w:rPr>
        <w:t>陕西嘉信至诚项目管理有限公司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陕西嘉信至诚项目管理有限公司</w:t>
      </w:r>
      <w:r>
        <w:rPr>
          <w:rFonts w:ascii="仿宋_GB2312" w:hAnsi="仿宋_GB2312" w:cs="仿宋_GB2312" w:eastAsia="仿宋_GB2312"/>
        </w:rPr>
        <w:t>（以下简称“代理机构”）受</w:t>
      </w:r>
      <w:r>
        <w:rPr>
          <w:rFonts w:ascii="仿宋_GB2312" w:hAnsi="仿宋_GB2312" w:cs="仿宋_GB2312" w:eastAsia="仿宋_GB2312"/>
        </w:rPr>
        <w:t>渭南市临渭区民政局</w:t>
      </w:r>
      <w:r>
        <w:rPr>
          <w:rFonts w:ascii="仿宋_GB2312" w:hAnsi="仿宋_GB2312" w:cs="仿宋_GB2312" w:eastAsia="仿宋_GB2312"/>
        </w:rPr>
        <w:t>委托，拟对</w:t>
      </w:r>
      <w:r>
        <w:rPr>
          <w:rFonts w:ascii="仿宋_GB2312" w:hAnsi="仿宋_GB2312" w:cs="仿宋_GB2312" w:eastAsia="仿宋_GB2312"/>
        </w:rPr>
        <w:t>渭南市临渭区中心敬老院1号楼喷淋及蓄水池改造工程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ZCSP-临渭区-2026-00143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渭南市临渭区中心敬老院1号楼喷淋及蓄水池改造工程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对临渭区中心敬老院1#楼进行喷淋设施及蓄水池进行改造。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采购包1（渭南市临渭区中心敬老院1号楼喷淋及蓄水池改造工程）：属于专门面向中小企业采购。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1、企业资质：供应商须具备建筑工程施工总承包三级（含三级）及以上资质，并具有有效的安全生产许可证；</w:t>
      </w:r>
    </w:p>
    <w:p>
      <w:pPr>
        <w:pStyle w:val="null3"/>
      </w:pPr>
      <w:r>
        <w:rPr>
          <w:rFonts w:ascii="仿宋_GB2312" w:hAnsi="仿宋_GB2312" w:cs="仿宋_GB2312" w:eastAsia="仿宋_GB2312"/>
        </w:rPr>
        <w:t>2、项目经理：拟派项目经理须具有建筑工程二级及以上注册建造师资格并具有有效的安全生产考核合格证（建安B证），且无在建工程；</w:t>
      </w:r>
    </w:p>
    <w:p>
      <w:pPr>
        <w:pStyle w:val="null3"/>
      </w:pPr>
      <w:r>
        <w:rPr>
          <w:rFonts w:ascii="仿宋_GB2312" w:hAnsi="仿宋_GB2312" w:cs="仿宋_GB2312" w:eastAsia="仿宋_GB2312"/>
        </w:rPr>
        <w:t>3、磋商保证金：磋商保证金交纳凭证</w:t>
      </w:r>
    </w:p>
    <w:p>
      <w:pPr>
        <w:pStyle w:val="null3"/>
      </w:pPr>
      <w:r>
        <w:rPr>
          <w:rFonts w:ascii="仿宋_GB2312" w:hAnsi="仿宋_GB2312" w:cs="仿宋_GB2312" w:eastAsia="仿宋_GB2312"/>
        </w:rPr>
        <w:t>4、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渭南市临渭区民政局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临渭区东风街83号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闵工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0913-3039696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陕西嘉信至诚项目管理有限公司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陕西省渭南市临渭区解放路与双王街十字东南角商贸楼三楼东侧（槐衙曦和公馆南门斜对面）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0913-2130688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采购包1：1,130,000.00元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开户名称：陕西嘉信至诚项目管理有限公司</w:t>
            </w:r>
          </w:p>
          <w:p>
            <w:pPr>
              <w:pStyle w:val="null3"/>
            </w:pPr>
            <w:r>
              <w:rPr>
                <w:rFonts w:ascii="仿宋_GB2312" w:hAnsi="仿宋_GB2312" w:cs="仿宋_GB2312" w:eastAsia="仿宋_GB2312"/>
              </w:rPr>
              <w:t>开户银行：中国银行渭南分行营业部</w:t>
            </w:r>
          </w:p>
          <w:p>
            <w:pPr>
              <w:pStyle w:val="null3"/>
            </w:pPr>
            <w:r>
              <w:rPr>
                <w:rFonts w:ascii="仿宋_GB2312" w:hAnsi="仿宋_GB2312" w:cs="仿宋_GB2312" w:eastAsia="仿宋_GB2312"/>
              </w:rPr>
              <w:t>银行账号：103714785487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渭南市临渭区民政局</w:t>
      </w:r>
      <w:r>
        <w:rPr>
          <w:rFonts w:ascii="仿宋_GB2312" w:hAnsi="仿宋_GB2312" w:cs="仿宋_GB2312" w:eastAsia="仿宋_GB2312"/>
        </w:rPr>
        <w:t>和</w:t>
      </w:r>
      <w:r>
        <w:rPr>
          <w:rFonts w:ascii="仿宋_GB2312" w:hAnsi="仿宋_GB2312" w:cs="仿宋_GB2312" w:eastAsia="仿宋_GB2312"/>
        </w:rPr>
        <w:t>陕西嘉信至诚项目管理有限公司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渭南市临渭区民政局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陕西嘉信至诚项目管理有限公司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渭南市临渭区民政局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陕西嘉信至诚项目管理有限公司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联系人：田晶</w:t>
      </w:r>
    </w:p>
    <w:p>
      <w:pPr>
        <w:pStyle w:val="null3"/>
      </w:pPr>
      <w:r>
        <w:rPr>
          <w:rFonts w:ascii="仿宋_GB2312" w:hAnsi="仿宋_GB2312" w:cs="仿宋_GB2312" w:eastAsia="仿宋_GB2312"/>
        </w:rPr>
        <w:t>联系电话：0913-2130688</w:t>
      </w:r>
    </w:p>
    <w:p>
      <w:pPr>
        <w:pStyle w:val="null3"/>
      </w:pPr>
      <w:r>
        <w:rPr>
          <w:rFonts w:ascii="仿宋_GB2312" w:hAnsi="仿宋_GB2312" w:cs="仿宋_GB2312" w:eastAsia="仿宋_GB2312"/>
        </w:rPr>
        <w:t>地址：陕西省渭南市临渭区解放路与双王街十字东南角商贸楼三楼东侧（槐衙曦和公馆南门斜对面）</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1,130,000.00</w:t>
      </w:r>
    </w:p>
    <w:p>
      <w:pPr>
        <w:pStyle w:val="null3"/>
      </w:pPr>
      <w:r>
        <w:rPr>
          <w:rFonts w:ascii="仿宋_GB2312" w:hAnsi="仿宋_GB2312" w:cs="仿宋_GB2312" w:eastAsia="仿宋_GB2312"/>
        </w:rPr>
        <w:t>采购包最高限价（元）: 1,124,603.74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渭南市临渭区中心敬老院1号楼喷淋及蓄水池改造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1,130,000.00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标的名称：渭南市临渭区中心敬老院1号楼喷淋及蓄水池改造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对临渭区中心敬老院1#楼进行喷淋设施及蓄水池进行改造。</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《施工现场临时用电安全技术规范》（JGJ46-88）《建筑电气工程施工质量验收规范》（GB 50303-2015） 《建设工程施工现场供用电安全规范》（GB 50194-93）《建设施工安全检查标准》（JGJ59-99）《建筑与市政工程无障碍通用规范》 （GB 55019-2021）《工程建设标准强制性条文》（2013年版）《建筑节能与可再生能源利用通用规范》（GB 55015-2021）《安全防范工程通用规范》（GB 55029-2022）《工程建设标准强制性条文》（2013年版） 《建筑节能与可再生能源利用通用规范》（GB 55015-2021） 《安全防范工程通用规范》（GB 55029-2022）《消防设施通用规范》（GB 55036-2022）其他相关的国家现行有关设计规范、规程和地方法规、标准。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30日历天。（2）工程地点：渭南市临渭区。（3）质量标准：合格，达到国家现行技术标准。（4）质保期：按照《建设工程质量管理条例》及有关规定执行，质量保修期自工程竣工验收合格之日起计算。（5）付款方式：本工程付款依据工程进度情况按比例将进度应付款支付给供应商。首次付款比例不低于40%，工程完工后，进度款拨付至供应商合同总金额的90%；本工程竣工验收后需要进行结算审计，最终的结算审定金额为本工程的最终应付款，审计报告出具后支付剩余工程款。（6）本项目担任项目经理的建造师、项目技术负责人、施工员、专职安全员、质量员、材料员等施工现场关键岗位人员，必须与响应文件中载明的人员保持一致。本项目建设工期内实行实名考勤制度，所有关键岗位人员须严格按项目要求驻场履职。若违反上述要求，将依据住建部及陕西省住建厅《关于对全省建筑施工现场关键岗位人员实施实名制管理的通知》（陕建发〔2014〕194号）等相关规定，采购人将上报住建主管部门处理，直至解除施工合同，并依法追究相关单位及人员的责任。</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清单编制费：按照陕价行发[2014]88号文件规定计取；由中标（成交）供应商支付。2.中标（成交）供应商在中标（成交）结果公告发布后3个工作日内提供叁套纸质投标文件（经编标工具生成的文件直接打印），递交的纸质版文件内容确保与线上电子文件保持一致，不允许修改和补充。 3.中标（成交）供应商在中标（成交）结果公告发布后3个工作日内向采购人提交最终版《工程量清单表》，供应商最终版《工程量清单表》中的总报价应与最终磋商总报价保持一致。 4.关于印发中小企业划型标准规定的通知（工信部联企业〔2011〕300号），中小企业划型标准规定：（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须提供合法有效，具有独立承担民事责任能力的证明资料。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财务状况报告：提供具有财务审计资质单位出具的2025年度财务审计报告（成立时间至开标时间不足一年的可提供成立后任意时段的资产负债表）或响应文件递交截止时间前六个月内其基本账户银行出具的资信证明（附基本账户证明）或政府采购信用担保机构出具的投标担保函； 税收缴纳证明：提供响应文件递交截止时间前一年内任意一个月的缴费凭据；依法免税的应提供相关文件证明； 社会保障资金缴纳证明：提供响应文件递交截止时间前一年内任意一个月的社保缴费凭据或社保机构开具的社会保险参保缴费情况证明；依法不需要缴纳社会保障资金的供应商应提供相关文件证明； 注：按照陕西省财政厅关于进一步优化政府采购营商环境有关事项的通知（陕财办采〔2023〕4号）中对供应商参与政府采购活动建立“承诺+信用管理”的准入管理制度要求，以上三项内容可根据本磋商文件格式要求出具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参与的供应商（联合体）工程的施工单位全部为符合政策要求的中小企业。本项目所属行业：建筑业。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供应商须具备建筑工程施工总承包三级（含三级）及以上资质，并具有有效的安全生产许可证；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拟派项目经理须具有建筑工程二级及以上注册建造师资格并具有有效的安全生产考核合格证（建安B证），且无在建工程；</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磋商保证金交纳凭证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磋商响应文件按竞争性磋商文件要求进行签章</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响应文件封面 政府采购供应商拒绝政府采购领域商业贿赂承诺书.docx 项目管理机构组成表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技术服务合同条款及其他商务要求应答表.docx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供应商名称应与营业执照相一致</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响应文件封面 政府采购供应商拒绝政府采购领域商业贿赂承诺书.docx 项目管理机构组成表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对采购内容响应程度</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技术服务合同条款及其他商务要求应答表.docx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响应文件封面 政府采购供应商拒绝政府采购领域商业贿赂承诺书.docx 项目管理机构组成表 残疾人福利性单位声明函 报价函 标的清单 供应商类似项目业绩一览表 供应商资格证明文件.docx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内容至少包括①施工总平面布置；②资源配备计划：主要施工机械设备、劳动力等配备计划及主材进场计划； 赋分标准（8分）：每项评审内容不存在缺陷得4分，满分8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内容至少包括①施工准备；②施工方法及相关技术措施； 赋分标准（8分）：每项评审内容不存在缺陷得4分，满分8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内容至少包括①施工进度计划；②工期保障措施。 赋分标准（8分）：每项评审内容不存在缺陷得4分，满分8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内容至少包括①质量管理体系；②施工质量保障措施。 赋分标准（8分）：每项评审内容不存在缺陷得4分，满分8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内容至少包括①安全生产管理体系；②安全生产保证措施。 赋分标准（8分）：每项评审内容不存在缺陷得4分，满分8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内容至少包括①文明施工及环境保护管理体系；②防尘降噪措施；③文明施工及环境保护措施。 赋分标准（12分）：每项评审内容不存在缺陷得4分，满分12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1.项目管理机构中每具有一个工程类中级职称得0.5分,具有高级职称得1分；本项最高得3分。 2.①项目管理机构人员配备7人（含7人）以上得5分； ②项目管理机构人员配备4-6人得4分； ③项目管理机构人员配备0-3人得2分。 本项须提供人员相关证件； 注：不提供或完全背离评审标准得0分。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供应商提供近三年（2023年6月至今）的类似业绩，每提供一个得1分，最多得5分，未提供得0分。（以合同签订时间为准）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不高于最高限价，且经磋商小组评审不低于成本价的最终磋商报价为有效磋商报价。 (2) 满足竞争性磋商文件要求且磋商价格最低的最终磋商报价为磋商基准价，得满分35分； (3) 磋商报价得分=(磋商基准价／最终磋商报价)×35%×100。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