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对临渭区中心敬老院1#楼进行喷淋设施及蓄水池进行改造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874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《施工现场临时用电安全技术规范》（JGJ46-88）《建筑电气工程施工质量验收规范》（GB 50303-2015）《建设工程施工现场供用电安全规范》（GB 50194-93）《建设施工安全检查标准》（JGJ59-99）《建筑与市政工程无障碍通用规范》 （GB 55019-2021）《工程建设标准强制性条文》（2013年版）《建筑节能与可再生能源利用通用规范》（GB 55015-2021）《安全防范工程通用规范》（GB 55029-2022）《工程建设标准强制性条文》（2013年版）《建筑节能与可再生能源利用通用规范》（GB 55015-2021）《安全防范工程通用规范》（GB 55029-2022）《消防设施通用规范》（GB 55036-2022）其他相关的国家现行有关设计规范、规程和地方法规、标准。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质量标准：合格，达到国家现行技术标准。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首次付款比例不低于40%，</w:t>
            </w:r>
            <w:r>
              <w:rPr>
                <w:rFonts w:hint="eastAsia" w:ascii="宋体" w:hAnsi="宋体" w:cs="宋体"/>
                <w:sz w:val="24"/>
                <w:szCs w:val="24"/>
              </w:rPr>
              <w:t>工程完工后，进度款拨付至供应商合同总金额的90%；本工程竣工验收后需要进行结算审计，最终的结算审定金额为本工程的最终应付款，审计报告出具后支付剩余工程款。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质保期：按照《建设工程质量管理条例》及有关规定执行，质量保修期自工程竣工验收合格之日起计算。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173C6004"/>
    <w:rsid w:val="22B943B1"/>
    <w:rsid w:val="23B64C47"/>
    <w:rsid w:val="2AEF2101"/>
    <w:rsid w:val="438E2F3A"/>
    <w:rsid w:val="56944DB0"/>
    <w:rsid w:val="583C722D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812</Characters>
  <Lines>0</Lines>
  <Paragraphs>0</Paragraphs>
  <TotalTime>0</TotalTime>
  <ScaleCrop>false</ScaleCrop>
  <LinksUpToDate>false</LinksUpToDate>
  <CharactersWithSpaces>817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2026-06-17T03:56:51Z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