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3A742">
      <w:pPr>
        <w:adjustRightInd w:val="0"/>
        <w:snapToGrid w:val="0"/>
        <w:spacing w:line="300" w:lineRule="auto"/>
        <w:jc w:val="center"/>
        <w:rPr>
          <w:rFonts w:hint="eastAsia" w:ascii="宋体" w:hAnsi="宋体" w:cs="Tahoma"/>
          <w:b/>
          <w:color w:val="auto"/>
          <w:spacing w:val="20"/>
          <w:sz w:val="32"/>
          <w:szCs w:val="36"/>
        </w:rPr>
      </w:pPr>
      <w:bookmarkStart w:id="2" w:name="_GoBack"/>
      <w:bookmarkEnd w:id="2"/>
    </w:p>
    <w:p w14:paraId="2566F0EC">
      <w:pPr>
        <w:adjustRightInd w:val="0"/>
        <w:snapToGrid w:val="0"/>
        <w:spacing w:line="360" w:lineRule="auto"/>
        <w:jc w:val="center"/>
        <w:rPr>
          <w:rFonts w:ascii="宋体" w:hAnsi="宋体" w:cs="Tahoma"/>
          <w:b/>
          <w:color w:val="auto"/>
          <w:spacing w:val="20"/>
          <w:sz w:val="32"/>
          <w:szCs w:val="36"/>
        </w:rPr>
      </w:pPr>
    </w:p>
    <w:p w14:paraId="7C350946">
      <w:pPr>
        <w:adjustRightInd w:val="0"/>
        <w:snapToGrid w:val="0"/>
        <w:spacing w:line="360" w:lineRule="auto"/>
        <w:jc w:val="center"/>
        <w:rPr>
          <w:rFonts w:ascii="宋体" w:hAnsi="宋体" w:cs="Tahoma"/>
          <w:b/>
          <w:color w:val="auto"/>
          <w:spacing w:val="20"/>
          <w:sz w:val="32"/>
          <w:szCs w:val="36"/>
        </w:rPr>
      </w:pPr>
    </w:p>
    <w:p w14:paraId="3AE8B4D8">
      <w:pPr>
        <w:adjustRightInd w:val="0"/>
        <w:snapToGrid w:val="0"/>
        <w:spacing w:line="360" w:lineRule="auto"/>
        <w:jc w:val="center"/>
        <w:rPr>
          <w:rFonts w:ascii="宋体" w:hAnsi="宋体" w:cs="Tahoma"/>
          <w:b/>
          <w:color w:val="auto"/>
          <w:spacing w:val="20"/>
          <w:sz w:val="32"/>
          <w:szCs w:val="36"/>
        </w:rPr>
      </w:pPr>
    </w:p>
    <w:p w14:paraId="750C2319">
      <w:pPr>
        <w:adjustRightInd w:val="0"/>
        <w:snapToGrid w:val="0"/>
        <w:spacing w:line="360" w:lineRule="auto"/>
        <w:jc w:val="center"/>
        <w:rPr>
          <w:rFonts w:ascii="宋体" w:hAnsi="宋体" w:cs="Tahoma"/>
          <w:b/>
          <w:color w:val="auto"/>
          <w:spacing w:val="20"/>
          <w:sz w:val="32"/>
          <w:szCs w:val="36"/>
        </w:rPr>
      </w:pPr>
    </w:p>
    <w:p w14:paraId="6382B623">
      <w:pPr>
        <w:adjustRightInd w:val="0"/>
        <w:snapToGrid w:val="0"/>
        <w:spacing w:line="360" w:lineRule="auto"/>
        <w:jc w:val="center"/>
        <w:rPr>
          <w:rFonts w:hint="eastAsia" w:ascii="宋体" w:hAnsi="宋体" w:cs="Tahoma"/>
          <w:b/>
          <w:color w:val="auto"/>
          <w:spacing w:val="20"/>
          <w:sz w:val="52"/>
          <w:szCs w:val="36"/>
        </w:rPr>
      </w:pPr>
      <w:r>
        <w:rPr>
          <w:rFonts w:hint="eastAsia" w:ascii="宋体" w:hAnsi="宋体" w:cs="Tahoma"/>
          <w:b/>
          <w:color w:val="auto"/>
          <w:spacing w:val="20"/>
          <w:sz w:val="52"/>
          <w:szCs w:val="36"/>
        </w:rPr>
        <w:t>陕西国防工业职业技术学院</w:t>
      </w:r>
    </w:p>
    <w:p w14:paraId="25F88E36">
      <w:pPr>
        <w:adjustRightInd w:val="0"/>
        <w:snapToGrid w:val="0"/>
        <w:spacing w:line="360" w:lineRule="auto"/>
        <w:jc w:val="center"/>
        <w:rPr>
          <w:rFonts w:hint="eastAsia" w:ascii="宋体" w:hAnsi="宋体" w:cs="Tahoma"/>
          <w:b/>
          <w:color w:val="auto"/>
          <w:spacing w:val="20"/>
          <w:sz w:val="52"/>
          <w:szCs w:val="36"/>
        </w:rPr>
      </w:pPr>
    </w:p>
    <w:p w14:paraId="5C600B36">
      <w:pPr>
        <w:adjustRightInd w:val="0"/>
        <w:snapToGrid w:val="0"/>
        <w:spacing w:line="360" w:lineRule="auto"/>
        <w:jc w:val="center"/>
        <w:rPr>
          <w:rFonts w:ascii="宋体" w:hAnsi="宋体" w:cs="Tahoma"/>
          <w:b/>
          <w:color w:val="auto"/>
          <w:spacing w:val="20"/>
          <w:sz w:val="52"/>
          <w:szCs w:val="36"/>
        </w:rPr>
      </w:pPr>
      <w:r>
        <w:rPr>
          <w:rFonts w:hint="eastAsia" w:ascii="宋体" w:hAnsi="宋体" w:cs="Tahoma"/>
          <w:b/>
          <w:color w:val="auto"/>
          <w:spacing w:val="20"/>
          <w:sz w:val="52"/>
          <w:szCs w:val="36"/>
        </w:rPr>
        <w:t>采购项目合同书</w:t>
      </w:r>
    </w:p>
    <w:p w14:paraId="048BD4A0">
      <w:pPr>
        <w:adjustRightInd w:val="0"/>
        <w:snapToGrid w:val="0"/>
        <w:spacing w:line="360" w:lineRule="auto"/>
        <w:ind w:left="2100" w:leftChars="1000"/>
        <w:rPr>
          <w:rFonts w:hint="eastAsia" w:ascii="宋体" w:hAnsi="宋体" w:cs="Tahoma"/>
          <w:b/>
          <w:color w:val="auto"/>
          <w:sz w:val="28"/>
          <w:szCs w:val="28"/>
        </w:rPr>
      </w:pPr>
    </w:p>
    <w:p w14:paraId="44C41CA8">
      <w:pPr>
        <w:adjustRightInd w:val="0"/>
        <w:snapToGrid w:val="0"/>
        <w:spacing w:line="360" w:lineRule="auto"/>
        <w:jc w:val="center"/>
        <w:rPr>
          <w:rFonts w:ascii="Tahoma" w:hAnsi="Tahoma" w:cs="Tahoma"/>
          <w:b/>
          <w:color w:val="auto"/>
          <w:sz w:val="32"/>
        </w:rPr>
      </w:pPr>
    </w:p>
    <w:p w14:paraId="598ADA5C">
      <w:pPr>
        <w:adjustRightInd w:val="0"/>
        <w:snapToGrid w:val="0"/>
        <w:spacing w:line="360" w:lineRule="auto"/>
        <w:jc w:val="center"/>
        <w:rPr>
          <w:rFonts w:hint="eastAsia" w:ascii="Tahoma" w:hAnsi="Tahoma" w:cs="Tahoma"/>
          <w:b/>
          <w:color w:val="auto"/>
          <w:sz w:val="32"/>
        </w:rPr>
      </w:pPr>
    </w:p>
    <w:p w14:paraId="76EA8EB2">
      <w:pPr>
        <w:adjustRightInd w:val="0"/>
        <w:snapToGrid w:val="0"/>
        <w:spacing w:line="360" w:lineRule="auto"/>
        <w:jc w:val="center"/>
        <w:rPr>
          <w:rFonts w:ascii="Tahoma" w:hAnsi="Tahoma" w:cs="Tahoma"/>
          <w:b/>
          <w:color w:val="auto"/>
          <w:sz w:val="32"/>
        </w:rPr>
      </w:pPr>
    </w:p>
    <w:p w14:paraId="08E04B86">
      <w:pPr>
        <w:adjustRightInd w:val="0"/>
        <w:snapToGrid w:val="0"/>
        <w:spacing w:line="360" w:lineRule="auto"/>
        <w:ind w:left="1680" w:leftChars="800"/>
        <w:jc w:val="both"/>
        <w:rPr>
          <w:rFonts w:ascii="Tahoma" w:hAnsi="Tahoma" w:cs="Tahoma"/>
          <w:b/>
          <w:color w:val="auto"/>
          <w:sz w:val="32"/>
        </w:rPr>
      </w:pPr>
    </w:p>
    <w:p w14:paraId="3B2BA026">
      <w:pPr>
        <w:adjustRightInd w:val="0"/>
        <w:snapToGrid w:val="0"/>
        <w:spacing w:line="360" w:lineRule="auto"/>
        <w:ind w:left="1680" w:leftChars="800"/>
        <w:jc w:val="center"/>
        <w:rPr>
          <w:rFonts w:ascii="Tahoma" w:hAnsi="Tahoma" w:cs="Tahoma"/>
          <w:b/>
          <w:color w:val="auto"/>
          <w:sz w:val="32"/>
        </w:rPr>
      </w:pPr>
    </w:p>
    <w:p w14:paraId="0076E4B5">
      <w:pPr>
        <w:spacing w:line="360" w:lineRule="auto"/>
        <w:ind w:firstLine="1687" w:firstLineChars="600"/>
        <w:jc w:val="both"/>
        <w:rPr>
          <w:rFonts w:ascii="宋体" w:hAnsi="宋体"/>
          <w:b/>
          <w:color w:val="auto"/>
          <w:sz w:val="28"/>
          <w:szCs w:val="28"/>
          <w:u w:val="single"/>
        </w:rPr>
      </w:pPr>
      <w:r>
        <w:rPr>
          <w:rFonts w:hint="eastAsia" w:ascii="宋体" w:hAnsi="宋体" w:cs="Tahoma"/>
          <w:b/>
          <w:color w:val="auto"/>
          <w:sz w:val="28"/>
          <w:szCs w:val="28"/>
        </w:rPr>
        <w:t>项目名称：</w:t>
      </w:r>
    </w:p>
    <w:p w14:paraId="2EF2C2D5">
      <w:pPr>
        <w:adjustRightInd w:val="0"/>
        <w:snapToGrid w:val="0"/>
        <w:spacing w:line="360" w:lineRule="auto"/>
        <w:ind w:left="1680" w:leftChars="800"/>
        <w:jc w:val="both"/>
        <w:rPr>
          <w:rFonts w:hint="eastAsia" w:ascii="宋体" w:hAnsi="宋体" w:cs="Arial"/>
          <w:b/>
          <w:color w:val="auto"/>
          <w:sz w:val="28"/>
          <w:szCs w:val="28"/>
          <w:u w:val="single"/>
        </w:rPr>
      </w:pPr>
      <w:r>
        <w:rPr>
          <w:rFonts w:hint="eastAsia" w:ascii="宋体" w:hAnsi="宋体" w:cs="Tahoma"/>
          <w:b/>
          <w:color w:val="auto"/>
          <w:sz w:val="28"/>
          <w:szCs w:val="28"/>
        </w:rPr>
        <w:t>项目编号：</w:t>
      </w:r>
    </w:p>
    <w:p w14:paraId="2C42635E">
      <w:pPr>
        <w:adjustRightInd w:val="0"/>
        <w:snapToGrid w:val="0"/>
        <w:spacing w:line="360" w:lineRule="auto"/>
        <w:ind w:left="1680" w:leftChars="800"/>
        <w:jc w:val="both"/>
        <w:rPr>
          <w:rFonts w:hint="eastAsia" w:ascii="宋体" w:hAnsi="宋体" w:cs="Tahoma"/>
          <w:b/>
          <w:color w:val="auto"/>
          <w:sz w:val="28"/>
          <w:szCs w:val="28"/>
        </w:rPr>
      </w:pPr>
      <w:r>
        <w:rPr>
          <w:rFonts w:hint="eastAsia" w:ascii="宋体" w:hAnsi="宋体" w:cs="Tahoma"/>
          <w:b/>
          <w:color w:val="auto"/>
          <w:sz w:val="28"/>
          <w:szCs w:val="28"/>
        </w:rPr>
        <w:t>甲    方：</w:t>
      </w:r>
      <w:r>
        <w:rPr>
          <w:rFonts w:hint="eastAsia" w:ascii="宋体" w:hAnsi="宋体" w:cs="Arial"/>
          <w:b/>
          <w:color w:val="auto"/>
          <w:sz w:val="28"/>
          <w:szCs w:val="28"/>
          <w:u w:val="single"/>
        </w:rPr>
        <w:t xml:space="preserve"> </w:t>
      </w:r>
      <w:r>
        <w:rPr>
          <w:rFonts w:hint="eastAsia" w:ascii="宋体" w:hAnsi="宋体" w:cs="Arial"/>
          <w:b/>
          <w:bCs/>
          <w:color w:val="auto"/>
          <w:sz w:val="28"/>
          <w:szCs w:val="28"/>
          <w:u w:val="single"/>
        </w:rPr>
        <w:t>陕西国防工业职业技术学院</w:t>
      </w:r>
    </w:p>
    <w:p w14:paraId="76C9F2E2">
      <w:pPr>
        <w:adjustRightInd w:val="0"/>
        <w:snapToGrid w:val="0"/>
        <w:spacing w:line="360" w:lineRule="auto"/>
        <w:ind w:left="1680" w:leftChars="800"/>
        <w:jc w:val="both"/>
        <w:rPr>
          <w:rFonts w:hint="eastAsia" w:ascii="宋体" w:hAnsi="宋体" w:cs="Arial"/>
          <w:b/>
          <w:bCs/>
          <w:color w:val="auto"/>
          <w:sz w:val="28"/>
          <w:szCs w:val="28"/>
          <w:u w:val="single"/>
        </w:rPr>
      </w:pPr>
      <w:r>
        <w:rPr>
          <w:rFonts w:hint="eastAsia" w:ascii="宋体" w:hAnsi="宋体" w:cs="Tahoma"/>
          <w:b/>
          <w:color w:val="auto"/>
          <w:sz w:val="28"/>
          <w:szCs w:val="28"/>
        </w:rPr>
        <w:t>乙    方：</w:t>
      </w:r>
    </w:p>
    <w:p w14:paraId="4E1131AF">
      <w:pPr>
        <w:adjustRightInd w:val="0"/>
        <w:snapToGrid w:val="0"/>
        <w:spacing w:line="360" w:lineRule="auto"/>
        <w:ind w:left="1680" w:leftChars="800"/>
        <w:jc w:val="both"/>
        <w:rPr>
          <w:rFonts w:hint="eastAsia" w:ascii="宋体" w:hAnsi="宋体" w:cs="Tahoma"/>
          <w:b/>
          <w:color w:val="auto"/>
          <w:sz w:val="28"/>
          <w:szCs w:val="28"/>
          <w:u w:val="single"/>
        </w:rPr>
      </w:pPr>
      <w:r>
        <w:rPr>
          <w:rFonts w:hint="eastAsia" w:ascii="宋体" w:hAnsi="宋体" w:cs="Tahoma"/>
          <w:b/>
          <w:color w:val="auto"/>
          <w:sz w:val="28"/>
          <w:szCs w:val="28"/>
        </w:rPr>
        <w:t>合同签订地点：</w:t>
      </w:r>
    </w:p>
    <w:p w14:paraId="0537E886">
      <w:pPr>
        <w:adjustRightInd w:val="0"/>
        <w:snapToGrid w:val="0"/>
        <w:spacing w:line="360" w:lineRule="auto"/>
        <w:ind w:left="1680" w:leftChars="800"/>
        <w:jc w:val="both"/>
        <w:rPr>
          <w:rFonts w:ascii="宋体" w:hAnsi="宋体" w:cs="Tahoma"/>
          <w:b/>
          <w:color w:val="auto"/>
          <w:sz w:val="28"/>
          <w:szCs w:val="28"/>
          <w:u w:val="single"/>
        </w:rPr>
      </w:pPr>
      <w:r>
        <w:rPr>
          <w:rFonts w:hint="eastAsia" w:ascii="宋体" w:hAnsi="宋体" w:cs="Tahoma"/>
          <w:b/>
          <w:color w:val="auto"/>
          <w:sz w:val="28"/>
          <w:szCs w:val="28"/>
        </w:rPr>
        <w:t>合同签订时间：</w:t>
      </w:r>
      <w:r>
        <w:rPr>
          <w:rFonts w:hint="eastAsia" w:ascii="宋体" w:hAnsi="宋体" w:cs="Tahoma"/>
          <w:b/>
          <w:color w:val="auto"/>
          <w:sz w:val="28"/>
          <w:szCs w:val="28"/>
          <w:u w:val="single"/>
        </w:rPr>
        <w:t xml:space="preserve">    年</w:t>
      </w:r>
      <w:r>
        <w:rPr>
          <w:rFonts w:hint="eastAsia" w:ascii="宋体" w:hAnsi="宋体" w:cs="Tahoma"/>
          <w:b/>
          <w:color w:val="auto"/>
          <w:sz w:val="28"/>
          <w:szCs w:val="28"/>
          <w:u w:val="single"/>
          <w:lang w:val="en-US" w:eastAsia="zh-CN"/>
        </w:rPr>
        <w:t xml:space="preserve">    </w:t>
      </w:r>
      <w:r>
        <w:rPr>
          <w:rFonts w:hint="eastAsia" w:ascii="宋体" w:hAnsi="宋体" w:cs="Tahoma"/>
          <w:b/>
          <w:color w:val="auto"/>
          <w:sz w:val="28"/>
          <w:szCs w:val="28"/>
          <w:u w:val="single"/>
        </w:rPr>
        <w:t>月</w:t>
      </w:r>
      <w:r>
        <w:rPr>
          <w:rFonts w:hint="eastAsia" w:ascii="宋体" w:hAnsi="宋体" w:cs="Tahoma"/>
          <w:b/>
          <w:color w:val="auto"/>
          <w:sz w:val="28"/>
          <w:szCs w:val="28"/>
          <w:u w:val="single"/>
          <w:lang w:val="en-US" w:eastAsia="zh-CN"/>
        </w:rPr>
        <w:t xml:space="preserve">    日</w:t>
      </w:r>
    </w:p>
    <w:p w14:paraId="09671A2E">
      <w:pPr>
        <w:adjustRightInd w:val="0"/>
        <w:snapToGrid w:val="0"/>
        <w:spacing w:line="360" w:lineRule="auto"/>
        <w:ind w:firstLine="560" w:firstLineChars="200"/>
        <w:rPr>
          <w:rFonts w:ascii="仿宋" w:hAnsi="仿宋" w:eastAsia="仿宋" w:cs="Tahoma"/>
          <w:color w:val="auto"/>
          <w:kern w:val="28"/>
          <w:sz w:val="28"/>
          <w:szCs w:val="28"/>
        </w:rPr>
        <w:sectPr>
          <w:headerReference r:id="rId3" w:type="default"/>
          <w:footerReference r:id="rId4" w:type="default"/>
          <w:footerReference r:id="rId5" w:type="even"/>
          <w:pgSz w:w="11906" w:h="16838"/>
          <w:pgMar w:top="1191" w:right="1077" w:bottom="1191" w:left="1077" w:header="851" w:footer="851" w:gutter="0"/>
          <w:cols w:space="720" w:num="1"/>
          <w:docGrid w:type="lines" w:linePitch="312" w:charSpace="0"/>
        </w:sectPr>
      </w:pPr>
    </w:p>
    <w:p w14:paraId="4FFC7895">
      <w:pPr>
        <w:adjustRightInd w:val="0"/>
        <w:snapToGrid w:val="0"/>
        <w:spacing w:line="360" w:lineRule="auto"/>
        <w:ind w:firstLine="560" w:firstLineChars="200"/>
        <w:rPr>
          <w:rFonts w:ascii="仿宋" w:hAnsi="仿宋" w:eastAsia="仿宋" w:cs="Tahoma"/>
          <w:b/>
          <w:bCs/>
          <w:color w:val="auto"/>
          <w:kern w:val="28"/>
          <w:sz w:val="28"/>
          <w:szCs w:val="28"/>
          <w:u w:val="single"/>
        </w:rPr>
      </w:pPr>
      <w:r>
        <w:rPr>
          <w:rFonts w:hint="eastAsia" w:ascii="仿宋" w:hAnsi="仿宋" w:eastAsia="仿宋" w:cs="Tahoma"/>
          <w:color w:val="auto"/>
          <w:kern w:val="28"/>
          <w:sz w:val="28"/>
          <w:szCs w:val="28"/>
        </w:rPr>
        <w:t>根据</w:t>
      </w:r>
      <w:r>
        <w:rPr>
          <w:rFonts w:hint="eastAsia" w:ascii="仿宋" w:hAnsi="仿宋" w:eastAsia="仿宋" w:cs="Tahoma"/>
          <w:color w:val="auto"/>
          <w:kern w:val="28"/>
          <w:sz w:val="28"/>
          <w:szCs w:val="28"/>
          <w:u w:val="single"/>
          <w:lang w:val="en-US" w:eastAsia="zh-CN"/>
        </w:rPr>
        <w:t xml:space="preserve">                   </w:t>
      </w:r>
      <w:r>
        <w:rPr>
          <w:rFonts w:hint="eastAsia" w:ascii="仿宋" w:hAnsi="仿宋" w:eastAsia="仿宋" w:cs="Tahoma"/>
          <w:color w:val="auto"/>
          <w:kern w:val="28"/>
          <w:sz w:val="28"/>
          <w:szCs w:val="28"/>
        </w:rPr>
        <w:t>的采购结果，经</w:t>
      </w:r>
      <w:r>
        <w:rPr>
          <w:rFonts w:hint="eastAsia" w:ascii="仿宋" w:hAnsi="仿宋" w:eastAsia="仿宋" w:cs="Tahoma"/>
          <w:b/>
          <w:color w:val="auto"/>
          <w:kern w:val="28"/>
          <w:sz w:val="28"/>
          <w:szCs w:val="28"/>
          <w:u w:val="single"/>
        </w:rPr>
        <w:t>陕西国防工业职业技术学院</w:t>
      </w:r>
      <w:r>
        <w:rPr>
          <w:rFonts w:hint="eastAsia" w:ascii="仿宋" w:hAnsi="仿宋" w:eastAsia="仿宋" w:cs="Tahoma"/>
          <w:color w:val="auto"/>
          <w:kern w:val="28"/>
          <w:sz w:val="28"/>
          <w:szCs w:val="28"/>
        </w:rPr>
        <w:t>（以下简称甲方）与</w:t>
      </w:r>
      <w:r>
        <w:rPr>
          <w:rFonts w:hint="eastAsia" w:ascii="仿宋" w:hAnsi="仿宋" w:eastAsia="仿宋" w:cs="Tahoma"/>
          <w:color w:val="auto"/>
          <w:kern w:val="28"/>
          <w:sz w:val="28"/>
          <w:szCs w:val="28"/>
          <w:lang w:val="en-US" w:eastAsia="zh-CN"/>
        </w:rPr>
        <w:t>中</w:t>
      </w:r>
      <w:r>
        <w:rPr>
          <w:rFonts w:hint="eastAsia" w:ascii="仿宋" w:hAnsi="仿宋" w:eastAsia="仿宋" w:cs="Tahoma"/>
          <w:color w:val="auto"/>
          <w:kern w:val="28"/>
          <w:sz w:val="28"/>
          <w:szCs w:val="28"/>
          <w:highlight w:val="none"/>
        </w:rPr>
        <w:t>标人</w:t>
      </w:r>
      <w:r>
        <w:rPr>
          <w:rFonts w:hint="eastAsia" w:ascii="仿宋" w:hAnsi="仿宋" w:eastAsia="仿宋" w:cs="Tahoma"/>
          <w:color w:val="auto"/>
          <w:kern w:val="28"/>
          <w:sz w:val="28"/>
          <w:szCs w:val="28"/>
          <w:u w:val="single"/>
          <w:lang w:val="en-US" w:eastAsia="zh-CN"/>
        </w:rPr>
        <w:t xml:space="preserve">              </w:t>
      </w:r>
      <w:r>
        <w:rPr>
          <w:rFonts w:hint="eastAsia" w:ascii="仿宋" w:hAnsi="仿宋" w:eastAsia="仿宋" w:cs="Tahoma"/>
          <w:color w:val="auto"/>
          <w:kern w:val="28"/>
          <w:sz w:val="28"/>
          <w:szCs w:val="28"/>
        </w:rPr>
        <w:t>（以下简称乙方）</w:t>
      </w:r>
      <w:r>
        <w:rPr>
          <w:rStyle w:val="10"/>
          <w:rFonts w:hint="eastAsia" w:ascii="仿宋" w:hAnsi="仿宋" w:eastAsia="仿宋"/>
          <w:color w:val="auto"/>
          <w:sz w:val="28"/>
          <w:szCs w:val="28"/>
        </w:rPr>
        <w:t>根据《中华人民共和国</w:t>
      </w:r>
      <w:r>
        <w:rPr>
          <w:rStyle w:val="10"/>
          <w:rFonts w:hint="eastAsia" w:ascii="仿宋" w:hAnsi="仿宋" w:eastAsia="仿宋"/>
          <w:color w:val="auto"/>
          <w:sz w:val="28"/>
          <w:szCs w:val="28"/>
          <w:lang w:val="en-US" w:eastAsia="zh-CN"/>
        </w:rPr>
        <w:t>民法典</w:t>
      </w:r>
      <w:r>
        <w:rPr>
          <w:rStyle w:val="10"/>
          <w:rFonts w:hint="eastAsia" w:ascii="仿宋" w:hAnsi="仿宋" w:eastAsia="仿宋"/>
          <w:color w:val="auto"/>
          <w:sz w:val="28"/>
          <w:szCs w:val="28"/>
        </w:rPr>
        <w:t>》的有关规定，经双方平等协商，达成如下协议：</w:t>
      </w:r>
    </w:p>
    <w:p w14:paraId="295A37FA">
      <w:pPr>
        <w:snapToGrid w:val="0"/>
        <w:spacing w:before="156" w:beforeLines="50" w:after="156" w:afterLines="50" w:line="360" w:lineRule="auto"/>
        <w:jc w:val="both"/>
        <w:outlineLvl w:val="0"/>
        <w:rPr>
          <w:rFonts w:hint="eastAsia" w:ascii="仿宋" w:hAnsi="仿宋" w:eastAsia="仿宋" w:cs="Tahoma"/>
          <w:b/>
          <w:color w:val="auto"/>
          <w:sz w:val="28"/>
          <w:szCs w:val="28"/>
        </w:rPr>
      </w:pPr>
      <w:r>
        <w:rPr>
          <w:rFonts w:hint="eastAsia" w:ascii="仿宋" w:hAnsi="仿宋" w:eastAsia="仿宋" w:cs="Tahoma"/>
          <w:b/>
          <w:color w:val="auto"/>
          <w:sz w:val="28"/>
          <w:szCs w:val="28"/>
        </w:rPr>
        <w:t>一、合同标的、金额</w:t>
      </w:r>
    </w:p>
    <w:tbl>
      <w:tblPr>
        <w:tblStyle w:val="8"/>
        <w:tblW w:w="0" w:type="auto"/>
        <w:jc w:val="center"/>
        <w:tblLayout w:type="fixed"/>
        <w:tblCellMar>
          <w:top w:w="0" w:type="dxa"/>
          <w:left w:w="0" w:type="dxa"/>
          <w:bottom w:w="0" w:type="dxa"/>
          <w:right w:w="0" w:type="dxa"/>
        </w:tblCellMar>
      </w:tblPr>
      <w:tblGrid>
        <w:gridCol w:w="667"/>
        <w:gridCol w:w="992"/>
        <w:gridCol w:w="851"/>
        <w:gridCol w:w="2835"/>
        <w:gridCol w:w="709"/>
        <w:gridCol w:w="708"/>
        <w:gridCol w:w="1276"/>
        <w:gridCol w:w="1630"/>
      </w:tblGrid>
      <w:tr w14:paraId="537F12AE">
        <w:tblPrEx>
          <w:tblCellMar>
            <w:top w:w="0" w:type="dxa"/>
            <w:left w:w="0" w:type="dxa"/>
            <w:bottom w:w="0" w:type="dxa"/>
            <w:right w:w="0" w:type="dxa"/>
          </w:tblCellMar>
        </w:tblPrEx>
        <w:trPr>
          <w:wBefore w:w="0" w:type="dxa"/>
          <w:wAfter w:w="0" w:type="dxa"/>
          <w:trHeight w:val="270" w:hRule="atLeast"/>
          <w:jc w:val="center"/>
        </w:trPr>
        <w:tc>
          <w:tcPr>
            <w:tcW w:w="667" w:type="dxa"/>
            <w:tcBorders>
              <w:top w:val="single" w:color="000000" w:sz="8" w:space="0"/>
              <w:left w:val="single" w:color="000000" w:sz="8" w:space="0"/>
              <w:bottom w:val="single" w:color="000000" w:sz="4" w:space="0"/>
              <w:right w:val="single" w:color="000000" w:sz="4" w:space="0"/>
            </w:tcBorders>
            <w:noWrap w:val="0"/>
            <w:tcMar>
              <w:top w:w="15" w:type="dxa"/>
              <w:left w:w="15" w:type="dxa"/>
              <w:right w:w="15" w:type="dxa"/>
            </w:tcMar>
            <w:vAlign w:val="center"/>
          </w:tcPr>
          <w:p w14:paraId="5A1C4555">
            <w:pPr>
              <w:spacing w:line="360" w:lineRule="auto"/>
              <w:jc w:val="center"/>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序号</w:t>
            </w:r>
          </w:p>
        </w:tc>
        <w:tc>
          <w:tcPr>
            <w:tcW w:w="992"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42F59329">
            <w:pPr>
              <w:spacing w:line="360" w:lineRule="auto"/>
              <w:jc w:val="center"/>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品名</w:t>
            </w:r>
          </w:p>
        </w:tc>
        <w:tc>
          <w:tcPr>
            <w:tcW w:w="851"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1C2BFABF">
            <w:pPr>
              <w:spacing w:line="360" w:lineRule="auto"/>
              <w:jc w:val="center"/>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品牌</w:t>
            </w:r>
          </w:p>
        </w:tc>
        <w:tc>
          <w:tcPr>
            <w:tcW w:w="2835"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3A70B9B4">
            <w:pPr>
              <w:spacing w:line="360" w:lineRule="auto"/>
              <w:jc w:val="center"/>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规格型号、参数</w:t>
            </w:r>
          </w:p>
        </w:tc>
        <w:tc>
          <w:tcPr>
            <w:tcW w:w="709"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7F45580C">
            <w:pPr>
              <w:spacing w:line="360" w:lineRule="auto"/>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单位</w:t>
            </w:r>
          </w:p>
        </w:tc>
        <w:tc>
          <w:tcPr>
            <w:tcW w:w="708" w:type="dxa"/>
            <w:tcBorders>
              <w:top w:val="single" w:color="000000" w:sz="8" w:space="0"/>
              <w:left w:val="single" w:color="000000" w:sz="4" w:space="0"/>
              <w:bottom w:val="single" w:color="000000" w:sz="4" w:space="0"/>
              <w:right w:val="single" w:color="000000" w:sz="4" w:space="0"/>
            </w:tcBorders>
            <w:noWrap w:val="0"/>
            <w:tcMar>
              <w:top w:w="15" w:type="dxa"/>
              <w:left w:w="15" w:type="dxa"/>
              <w:right w:w="15" w:type="dxa"/>
            </w:tcMar>
            <w:vAlign w:val="center"/>
          </w:tcPr>
          <w:p w14:paraId="232F9996">
            <w:pPr>
              <w:spacing w:line="360" w:lineRule="auto"/>
              <w:jc w:val="center"/>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数量</w:t>
            </w:r>
          </w:p>
        </w:tc>
        <w:tc>
          <w:tcPr>
            <w:tcW w:w="1276" w:type="dxa"/>
            <w:tcBorders>
              <w:top w:val="single" w:color="000000" w:sz="8" w:space="0"/>
              <w:left w:val="single" w:color="000000" w:sz="4" w:space="0"/>
              <w:bottom w:val="single" w:color="000000" w:sz="4" w:space="0"/>
              <w:right w:val="nil"/>
            </w:tcBorders>
            <w:noWrap w:val="0"/>
            <w:tcMar>
              <w:top w:w="15" w:type="dxa"/>
              <w:left w:w="15" w:type="dxa"/>
              <w:right w:w="15" w:type="dxa"/>
            </w:tcMar>
            <w:vAlign w:val="center"/>
          </w:tcPr>
          <w:p w14:paraId="40F68C60">
            <w:pPr>
              <w:spacing w:line="360" w:lineRule="auto"/>
              <w:jc w:val="center"/>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单价（元）</w:t>
            </w:r>
          </w:p>
        </w:tc>
        <w:tc>
          <w:tcPr>
            <w:tcW w:w="1630" w:type="dxa"/>
            <w:tcBorders>
              <w:top w:val="single" w:color="000000" w:sz="8" w:space="0"/>
              <w:left w:val="single" w:color="000000" w:sz="8" w:space="0"/>
              <w:bottom w:val="single" w:color="000000" w:sz="4" w:space="0"/>
              <w:right w:val="single" w:color="000000" w:sz="8" w:space="0"/>
            </w:tcBorders>
            <w:noWrap w:val="0"/>
            <w:tcMar>
              <w:top w:w="15" w:type="dxa"/>
              <w:left w:w="15" w:type="dxa"/>
              <w:right w:w="15" w:type="dxa"/>
            </w:tcMar>
            <w:vAlign w:val="center"/>
          </w:tcPr>
          <w:p w14:paraId="2B8C4BF9">
            <w:pPr>
              <w:spacing w:line="360" w:lineRule="auto"/>
              <w:jc w:val="center"/>
              <w:textAlignment w:val="center"/>
              <w:rPr>
                <w:rFonts w:hint="eastAsia" w:ascii="仿宋" w:hAnsi="仿宋" w:eastAsia="仿宋" w:cs="宋体"/>
                <w:b/>
                <w:color w:val="auto"/>
                <w:sz w:val="24"/>
                <w:szCs w:val="24"/>
              </w:rPr>
            </w:pPr>
            <w:r>
              <w:rPr>
                <w:rFonts w:hint="eastAsia" w:ascii="仿宋" w:hAnsi="仿宋" w:eastAsia="仿宋" w:cs="宋体"/>
                <w:b/>
                <w:color w:val="auto"/>
                <w:sz w:val="24"/>
                <w:szCs w:val="24"/>
                <w:lang w:bidi="ar"/>
              </w:rPr>
              <w:t>总金额（元）</w:t>
            </w:r>
          </w:p>
        </w:tc>
      </w:tr>
      <w:tr w14:paraId="00F13C91">
        <w:tblPrEx>
          <w:tblCellMar>
            <w:top w:w="0" w:type="dxa"/>
            <w:left w:w="0" w:type="dxa"/>
            <w:bottom w:w="0" w:type="dxa"/>
            <w:right w:w="0" w:type="dxa"/>
          </w:tblCellMar>
        </w:tblPrEx>
        <w:trPr>
          <w:wBefore w:w="0" w:type="dxa"/>
          <w:wAfter w:w="0" w:type="dxa"/>
          <w:trHeight w:val="285" w:hRule="atLeast"/>
          <w:jc w:val="center"/>
        </w:trPr>
        <w:tc>
          <w:tcPr>
            <w:tcW w:w="667"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14:paraId="1D1745C7">
            <w:pPr>
              <w:spacing w:line="360" w:lineRule="auto"/>
              <w:jc w:val="center"/>
              <w:rPr>
                <w:rFonts w:hint="eastAsia" w:ascii="仿宋" w:hAnsi="仿宋" w:eastAsia="仿宋" w:cs="宋体"/>
                <w:color w:val="auto"/>
                <w:sz w:val="28"/>
                <w:szCs w:val="28"/>
              </w:rPr>
            </w:pPr>
          </w:p>
        </w:tc>
        <w:tc>
          <w:tcPr>
            <w:tcW w:w="9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486CE5E3">
            <w:pPr>
              <w:spacing w:line="360" w:lineRule="auto"/>
              <w:jc w:val="center"/>
              <w:textAlignment w:val="center"/>
              <w:rPr>
                <w:rFonts w:hint="eastAsia" w:ascii="仿宋" w:hAnsi="仿宋" w:eastAsia="仿宋" w:cs="宋体"/>
                <w:b/>
                <w:color w:val="auto"/>
                <w:sz w:val="24"/>
                <w:szCs w:val="24"/>
                <w:lang w:bidi="ar"/>
              </w:rPr>
            </w:pPr>
          </w:p>
        </w:tc>
        <w:tc>
          <w:tcPr>
            <w:tcW w:w="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E8921E0">
            <w:pPr>
              <w:spacing w:line="360" w:lineRule="auto"/>
              <w:jc w:val="center"/>
              <w:textAlignment w:val="center"/>
              <w:rPr>
                <w:rFonts w:hint="eastAsia" w:ascii="仿宋" w:hAnsi="仿宋" w:eastAsia="仿宋" w:cs="宋体"/>
                <w:b/>
                <w:color w:val="auto"/>
                <w:sz w:val="24"/>
                <w:szCs w:val="24"/>
                <w:lang w:bidi="ar"/>
              </w:rPr>
            </w:pPr>
          </w:p>
        </w:tc>
        <w:tc>
          <w:tcPr>
            <w:tcW w:w="28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top"/>
          </w:tcPr>
          <w:p w14:paraId="08CCB732">
            <w:pPr>
              <w:spacing w:line="360" w:lineRule="exact"/>
              <w:rPr>
                <w:rFonts w:ascii="仿宋" w:hAnsi="仿宋" w:eastAsia="仿宋" w:cs="宋体"/>
                <w:color w:val="auto"/>
                <w:szCs w:val="21"/>
              </w:rPr>
            </w:pPr>
          </w:p>
        </w:tc>
        <w:tc>
          <w:tcPr>
            <w:tcW w:w="7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702BF6C">
            <w:pPr>
              <w:spacing w:line="360" w:lineRule="auto"/>
              <w:jc w:val="center"/>
              <w:textAlignment w:val="center"/>
              <w:rPr>
                <w:rFonts w:hint="eastAsia" w:ascii="仿宋" w:hAnsi="仿宋" w:eastAsia="仿宋" w:cs="宋体"/>
                <w:b/>
                <w:color w:val="auto"/>
                <w:sz w:val="24"/>
                <w:szCs w:val="24"/>
                <w:lang w:bidi="ar"/>
              </w:rPr>
            </w:pPr>
          </w:p>
        </w:tc>
        <w:tc>
          <w:tcPr>
            <w:tcW w:w="7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60AFA0C">
            <w:pPr>
              <w:spacing w:line="360" w:lineRule="auto"/>
              <w:jc w:val="center"/>
              <w:rPr>
                <w:rFonts w:hint="eastAsia" w:ascii="仿宋" w:hAnsi="仿宋" w:eastAsia="仿宋" w:cs="宋体"/>
                <w:b/>
                <w:color w:val="auto"/>
                <w:sz w:val="24"/>
                <w:szCs w:val="24"/>
                <w:lang w:bidi="ar"/>
              </w:rPr>
            </w:pPr>
          </w:p>
        </w:tc>
        <w:tc>
          <w:tcPr>
            <w:tcW w:w="127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5C1CA660">
            <w:pPr>
              <w:spacing w:line="360" w:lineRule="auto"/>
              <w:jc w:val="center"/>
              <w:rPr>
                <w:rFonts w:ascii="仿宋" w:hAnsi="仿宋" w:eastAsia="仿宋" w:cs="宋体"/>
                <w:b/>
                <w:color w:val="auto"/>
                <w:sz w:val="24"/>
                <w:szCs w:val="24"/>
                <w:lang w:bidi="ar"/>
              </w:rPr>
            </w:pPr>
          </w:p>
        </w:tc>
        <w:tc>
          <w:tcPr>
            <w:tcW w:w="1630"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1B4E40A2">
            <w:pPr>
              <w:spacing w:line="360" w:lineRule="auto"/>
              <w:jc w:val="center"/>
              <w:rPr>
                <w:rFonts w:ascii="仿宋" w:hAnsi="仿宋" w:eastAsia="仿宋" w:cs="宋体"/>
                <w:b/>
                <w:color w:val="auto"/>
                <w:sz w:val="24"/>
                <w:szCs w:val="24"/>
                <w:lang w:bidi="ar"/>
              </w:rPr>
            </w:pPr>
          </w:p>
        </w:tc>
      </w:tr>
      <w:tr w14:paraId="270968CF">
        <w:tblPrEx>
          <w:tblCellMar>
            <w:top w:w="0" w:type="dxa"/>
            <w:left w:w="0" w:type="dxa"/>
            <w:bottom w:w="0" w:type="dxa"/>
            <w:right w:w="0" w:type="dxa"/>
          </w:tblCellMar>
        </w:tblPrEx>
        <w:trPr>
          <w:wBefore w:w="0" w:type="dxa"/>
          <w:wAfter w:w="0" w:type="dxa"/>
          <w:trHeight w:val="285" w:hRule="atLeast"/>
          <w:jc w:val="center"/>
        </w:trPr>
        <w:tc>
          <w:tcPr>
            <w:tcW w:w="667"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14:paraId="2C430DDE">
            <w:pPr>
              <w:spacing w:line="360" w:lineRule="auto"/>
              <w:jc w:val="center"/>
              <w:rPr>
                <w:rFonts w:hint="eastAsia" w:ascii="仿宋" w:hAnsi="仿宋" w:eastAsia="仿宋" w:cs="宋体"/>
                <w:color w:val="auto"/>
                <w:sz w:val="28"/>
                <w:szCs w:val="28"/>
              </w:rPr>
            </w:pPr>
          </w:p>
        </w:tc>
        <w:tc>
          <w:tcPr>
            <w:tcW w:w="9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3BC120">
            <w:pPr>
              <w:spacing w:line="360" w:lineRule="auto"/>
              <w:jc w:val="center"/>
              <w:textAlignment w:val="center"/>
              <w:rPr>
                <w:rFonts w:hint="eastAsia" w:ascii="仿宋" w:hAnsi="仿宋" w:eastAsia="仿宋" w:cs="宋体"/>
                <w:b/>
                <w:color w:val="auto"/>
                <w:sz w:val="24"/>
                <w:szCs w:val="24"/>
                <w:lang w:bidi="ar"/>
              </w:rPr>
            </w:pPr>
          </w:p>
        </w:tc>
        <w:tc>
          <w:tcPr>
            <w:tcW w:w="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232E5B9A">
            <w:pPr>
              <w:spacing w:line="360" w:lineRule="auto"/>
              <w:jc w:val="center"/>
              <w:textAlignment w:val="center"/>
              <w:rPr>
                <w:rFonts w:hint="eastAsia" w:ascii="仿宋" w:hAnsi="仿宋" w:eastAsia="仿宋" w:cs="宋体"/>
                <w:b/>
                <w:color w:val="auto"/>
                <w:sz w:val="24"/>
                <w:szCs w:val="24"/>
                <w:lang w:bidi="ar"/>
              </w:rPr>
            </w:pPr>
          </w:p>
        </w:tc>
        <w:tc>
          <w:tcPr>
            <w:tcW w:w="28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4B346A">
            <w:pPr>
              <w:spacing w:line="360" w:lineRule="exact"/>
              <w:textAlignment w:val="center"/>
              <w:rPr>
                <w:rFonts w:ascii="仿宋" w:hAnsi="仿宋" w:eastAsia="仿宋" w:cs="宋体"/>
                <w:bCs/>
                <w:color w:val="auto"/>
                <w:szCs w:val="21"/>
                <w:lang w:bidi="ar"/>
              </w:rPr>
            </w:pPr>
          </w:p>
        </w:tc>
        <w:tc>
          <w:tcPr>
            <w:tcW w:w="7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5516CD3">
            <w:pPr>
              <w:spacing w:line="360" w:lineRule="auto"/>
              <w:jc w:val="center"/>
              <w:rPr>
                <w:rFonts w:hint="eastAsia" w:ascii="仿宋" w:hAnsi="仿宋" w:eastAsia="仿宋" w:cs="宋体"/>
                <w:b/>
                <w:color w:val="auto"/>
                <w:sz w:val="24"/>
                <w:szCs w:val="24"/>
                <w:lang w:bidi="ar"/>
              </w:rPr>
            </w:pPr>
          </w:p>
        </w:tc>
        <w:tc>
          <w:tcPr>
            <w:tcW w:w="7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39E379B6">
            <w:pPr>
              <w:spacing w:line="360" w:lineRule="auto"/>
              <w:jc w:val="center"/>
              <w:rPr>
                <w:rFonts w:hint="eastAsia" w:ascii="仿宋" w:hAnsi="仿宋" w:eastAsia="仿宋" w:cs="宋体"/>
                <w:b/>
                <w:color w:val="auto"/>
                <w:sz w:val="24"/>
                <w:szCs w:val="24"/>
                <w:lang w:bidi="ar"/>
              </w:rPr>
            </w:pPr>
          </w:p>
        </w:tc>
        <w:tc>
          <w:tcPr>
            <w:tcW w:w="127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FCEC74A">
            <w:pPr>
              <w:spacing w:line="360" w:lineRule="auto"/>
              <w:jc w:val="center"/>
              <w:rPr>
                <w:rFonts w:ascii="仿宋" w:hAnsi="仿宋" w:eastAsia="仿宋" w:cs="宋体"/>
                <w:b/>
                <w:color w:val="auto"/>
                <w:sz w:val="24"/>
                <w:szCs w:val="24"/>
                <w:lang w:bidi="ar"/>
              </w:rPr>
            </w:pPr>
          </w:p>
        </w:tc>
        <w:tc>
          <w:tcPr>
            <w:tcW w:w="1630"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6790C4E7">
            <w:pPr>
              <w:spacing w:line="360" w:lineRule="auto"/>
              <w:jc w:val="center"/>
              <w:rPr>
                <w:rFonts w:ascii="仿宋" w:hAnsi="仿宋" w:eastAsia="仿宋" w:cs="宋体"/>
                <w:b/>
                <w:color w:val="auto"/>
                <w:sz w:val="24"/>
                <w:szCs w:val="24"/>
                <w:lang w:bidi="ar"/>
              </w:rPr>
            </w:pPr>
          </w:p>
        </w:tc>
      </w:tr>
      <w:tr w14:paraId="178C4EE2">
        <w:tblPrEx>
          <w:tblCellMar>
            <w:top w:w="0" w:type="dxa"/>
            <w:left w:w="0" w:type="dxa"/>
            <w:bottom w:w="0" w:type="dxa"/>
            <w:right w:w="0" w:type="dxa"/>
          </w:tblCellMar>
        </w:tblPrEx>
        <w:trPr>
          <w:wBefore w:w="0" w:type="dxa"/>
          <w:wAfter w:w="0" w:type="dxa"/>
          <w:trHeight w:val="285" w:hRule="atLeast"/>
          <w:jc w:val="center"/>
        </w:trPr>
        <w:tc>
          <w:tcPr>
            <w:tcW w:w="667" w:type="dxa"/>
            <w:tcBorders>
              <w:top w:val="single" w:color="000000" w:sz="4" w:space="0"/>
              <w:left w:val="single" w:color="000000" w:sz="8" w:space="0"/>
              <w:bottom w:val="single" w:color="000000" w:sz="4" w:space="0"/>
              <w:right w:val="single" w:color="000000" w:sz="4" w:space="0"/>
            </w:tcBorders>
            <w:noWrap/>
            <w:tcMar>
              <w:top w:w="15" w:type="dxa"/>
              <w:left w:w="15" w:type="dxa"/>
              <w:right w:w="15" w:type="dxa"/>
            </w:tcMar>
            <w:vAlign w:val="center"/>
          </w:tcPr>
          <w:p w14:paraId="424F9722">
            <w:pPr>
              <w:spacing w:line="360" w:lineRule="auto"/>
              <w:jc w:val="center"/>
              <w:rPr>
                <w:rFonts w:hint="eastAsia" w:ascii="仿宋" w:hAnsi="仿宋" w:eastAsia="仿宋" w:cs="宋体"/>
                <w:color w:val="auto"/>
                <w:sz w:val="28"/>
                <w:szCs w:val="28"/>
              </w:rPr>
            </w:pPr>
          </w:p>
        </w:tc>
        <w:tc>
          <w:tcPr>
            <w:tcW w:w="992"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4C2ADD9">
            <w:pPr>
              <w:spacing w:line="360" w:lineRule="auto"/>
              <w:jc w:val="center"/>
              <w:textAlignment w:val="center"/>
              <w:rPr>
                <w:rFonts w:hint="eastAsia" w:ascii="仿宋" w:hAnsi="仿宋" w:eastAsia="仿宋" w:cs="宋体"/>
                <w:b/>
                <w:color w:val="auto"/>
                <w:sz w:val="24"/>
                <w:szCs w:val="24"/>
                <w:lang w:bidi="ar"/>
              </w:rPr>
            </w:pPr>
          </w:p>
        </w:tc>
        <w:tc>
          <w:tcPr>
            <w:tcW w:w="851"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FF39A10">
            <w:pPr>
              <w:spacing w:line="360" w:lineRule="auto"/>
              <w:jc w:val="center"/>
              <w:textAlignment w:val="center"/>
              <w:rPr>
                <w:rFonts w:hint="eastAsia" w:ascii="仿宋" w:hAnsi="仿宋" w:eastAsia="仿宋" w:cs="宋体"/>
                <w:b/>
                <w:color w:val="auto"/>
                <w:sz w:val="24"/>
                <w:szCs w:val="24"/>
                <w:lang w:bidi="ar"/>
              </w:rPr>
            </w:pPr>
          </w:p>
        </w:tc>
        <w:tc>
          <w:tcPr>
            <w:tcW w:w="2835"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5CFC407A">
            <w:pPr>
              <w:spacing w:line="360" w:lineRule="exact"/>
              <w:textAlignment w:val="center"/>
              <w:rPr>
                <w:rFonts w:ascii="仿宋" w:hAnsi="仿宋" w:eastAsia="仿宋" w:cs="宋体"/>
                <w:bCs/>
                <w:color w:val="auto"/>
                <w:szCs w:val="21"/>
                <w:lang w:bidi="ar"/>
              </w:rPr>
            </w:pPr>
          </w:p>
        </w:tc>
        <w:tc>
          <w:tcPr>
            <w:tcW w:w="709"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692F905E">
            <w:pPr>
              <w:spacing w:line="360" w:lineRule="auto"/>
              <w:jc w:val="center"/>
              <w:textAlignment w:val="center"/>
              <w:rPr>
                <w:rFonts w:hint="eastAsia" w:ascii="仿宋" w:hAnsi="仿宋" w:eastAsia="仿宋" w:cs="宋体"/>
                <w:b/>
                <w:color w:val="auto"/>
                <w:sz w:val="24"/>
                <w:szCs w:val="24"/>
                <w:lang w:bidi="ar"/>
              </w:rPr>
            </w:pPr>
          </w:p>
        </w:tc>
        <w:tc>
          <w:tcPr>
            <w:tcW w:w="70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14:paraId="0AD1CD9E">
            <w:pPr>
              <w:spacing w:line="360" w:lineRule="auto"/>
              <w:jc w:val="center"/>
              <w:textAlignment w:val="center"/>
              <w:rPr>
                <w:rFonts w:hint="eastAsia" w:ascii="仿宋" w:hAnsi="仿宋" w:eastAsia="仿宋" w:cs="宋体"/>
                <w:b/>
                <w:color w:val="auto"/>
                <w:sz w:val="24"/>
                <w:szCs w:val="24"/>
                <w:lang w:bidi="ar"/>
              </w:rPr>
            </w:pPr>
          </w:p>
        </w:tc>
        <w:tc>
          <w:tcPr>
            <w:tcW w:w="127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72CF133C">
            <w:pPr>
              <w:spacing w:line="360" w:lineRule="auto"/>
              <w:jc w:val="center"/>
              <w:textAlignment w:val="center"/>
              <w:rPr>
                <w:rFonts w:ascii="仿宋" w:hAnsi="仿宋" w:eastAsia="仿宋" w:cs="宋体"/>
                <w:b/>
                <w:color w:val="auto"/>
                <w:sz w:val="24"/>
                <w:szCs w:val="24"/>
                <w:lang w:bidi="ar"/>
              </w:rPr>
            </w:pPr>
          </w:p>
        </w:tc>
        <w:tc>
          <w:tcPr>
            <w:tcW w:w="1630"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14:paraId="296D8142">
            <w:pPr>
              <w:spacing w:line="360" w:lineRule="auto"/>
              <w:jc w:val="center"/>
              <w:textAlignment w:val="center"/>
              <w:rPr>
                <w:rFonts w:ascii="仿宋" w:hAnsi="仿宋" w:eastAsia="仿宋" w:cs="宋体"/>
                <w:b/>
                <w:color w:val="auto"/>
                <w:sz w:val="24"/>
                <w:szCs w:val="24"/>
                <w:lang w:bidi="ar"/>
              </w:rPr>
            </w:pPr>
          </w:p>
        </w:tc>
      </w:tr>
      <w:tr w14:paraId="5CAD1392">
        <w:tblPrEx>
          <w:tblCellMar>
            <w:top w:w="0" w:type="dxa"/>
            <w:left w:w="0" w:type="dxa"/>
            <w:bottom w:w="0" w:type="dxa"/>
            <w:right w:w="0" w:type="dxa"/>
          </w:tblCellMar>
        </w:tblPrEx>
        <w:trPr>
          <w:wBefore w:w="0" w:type="dxa"/>
          <w:wAfter w:w="0" w:type="dxa"/>
          <w:trHeight w:val="540" w:hRule="atLeast"/>
          <w:jc w:val="center"/>
        </w:trPr>
        <w:tc>
          <w:tcPr>
            <w:tcW w:w="8038" w:type="dxa"/>
            <w:gridSpan w:val="7"/>
            <w:tcBorders>
              <w:top w:val="single" w:color="000000" w:sz="8" w:space="0"/>
              <w:left w:val="single" w:color="000000" w:sz="8" w:space="0"/>
              <w:bottom w:val="single" w:color="000000" w:sz="8" w:space="0"/>
              <w:right w:val="nil"/>
            </w:tcBorders>
            <w:noWrap w:val="0"/>
            <w:tcMar>
              <w:top w:w="15" w:type="dxa"/>
              <w:left w:w="15" w:type="dxa"/>
              <w:right w:w="15" w:type="dxa"/>
            </w:tcMar>
            <w:vAlign w:val="center"/>
          </w:tcPr>
          <w:p w14:paraId="2B7EDE07">
            <w:pPr>
              <w:spacing w:line="360" w:lineRule="auto"/>
              <w:jc w:val="center"/>
              <w:textAlignment w:val="center"/>
              <w:rPr>
                <w:rFonts w:hint="eastAsia" w:ascii="仿宋" w:hAnsi="仿宋" w:eastAsia="仿宋" w:cs="宋体"/>
                <w:b/>
                <w:color w:val="auto"/>
                <w:sz w:val="28"/>
                <w:szCs w:val="28"/>
              </w:rPr>
            </w:pPr>
            <w:r>
              <w:rPr>
                <w:rFonts w:hint="eastAsia" w:ascii="仿宋" w:hAnsi="仿宋" w:eastAsia="仿宋" w:cs="宋体"/>
                <w:b/>
                <w:color w:val="auto"/>
                <w:sz w:val="28"/>
                <w:szCs w:val="28"/>
                <w:lang w:bidi="ar"/>
              </w:rPr>
              <w:t>合计金额（人民币大写）</w:t>
            </w:r>
          </w:p>
        </w:tc>
        <w:tc>
          <w:tcPr>
            <w:tcW w:w="1630"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14:paraId="09385AE7">
            <w:pPr>
              <w:spacing w:line="360" w:lineRule="auto"/>
              <w:rPr>
                <w:rFonts w:ascii="仿宋" w:hAnsi="仿宋" w:eastAsia="仿宋" w:cs="宋体"/>
                <w:color w:val="auto"/>
                <w:sz w:val="28"/>
                <w:szCs w:val="28"/>
              </w:rPr>
            </w:pPr>
            <w:r>
              <w:rPr>
                <w:rFonts w:hint="eastAsia" w:ascii="仿宋" w:hAnsi="仿宋" w:eastAsia="仿宋" w:cs="宋体"/>
                <w:color w:val="auto"/>
                <w:sz w:val="28"/>
                <w:szCs w:val="28"/>
              </w:rPr>
              <w:t xml:space="preserve"> </w:t>
            </w:r>
          </w:p>
        </w:tc>
      </w:tr>
      <w:tr w14:paraId="6F073AA8">
        <w:tblPrEx>
          <w:tblCellMar>
            <w:top w:w="0" w:type="dxa"/>
            <w:left w:w="0" w:type="dxa"/>
            <w:bottom w:w="0" w:type="dxa"/>
            <w:right w:w="0" w:type="dxa"/>
          </w:tblCellMar>
        </w:tblPrEx>
        <w:trPr>
          <w:wBefore w:w="0" w:type="dxa"/>
          <w:wAfter w:w="0" w:type="dxa"/>
          <w:trHeight w:val="270" w:hRule="atLeast"/>
          <w:jc w:val="center"/>
        </w:trPr>
        <w:tc>
          <w:tcPr>
            <w:tcW w:w="667" w:type="dxa"/>
            <w:vMerge w:val="restart"/>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4A5945E8">
            <w:pPr>
              <w:spacing w:line="360" w:lineRule="auto"/>
              <w:jc w:val="center"/>
              <w:textAlignment w:val="center"/>
              <w:rPr>
                <w:rFonts w:hint="eastAsia" w:ascii="仿宋" w:hAnsi="仿宋" w:eastAsia="仿宋" w:cs="宋体"/>
                <w:color w:val="auto"/>
                <w:sz w:val="28"/>
                <w:szCs w:val="28"/>
              </w:rPr>
            </w:pPr>
            <w:r>
              <w:rPr>
                <w:rFonts w:hint="eastAsia" w:ascii="仿宋" w:hAnsi="仿宋" w:eastAsia="仿宋" w:cs="宋体"/>
                <w:color w:val="auto"/>
                <w:sz w:val="28"/>
                <w:szCs w:val="28"/>
                <w:lang w:bidi="ar"/>
              </w:rPr>
              <w:t>备注:</w:t>
            </w:r>
          </w:p>
        </w:tc>
        <w:tc>
          <w:tcPr>
            <w:tcW w:w="9001" w:type="dxa"/>
            <w:gridSpan w:val="7"/>
            <w:tcBorders>
              <w:top w:val="single" w:color="000000" w:sz="8" w:space="0"/>
              <w:left w:val="single" w:color="000000" w:sz="4" w:space="0"/>
              <w:bottom w:val="single" w:color="000000" w:sz="4" w:space="0"/>
              <w:right w:val="single" w:color="000000" w:sz="4" w:space="0"/>
            </w:tcBorders>
            <w:noWrap/>
            <w:tcMar>
              <w:top w:w="15" w:type="dxa"/>
              <w:left w:w="15" w:type="dxa"/>
              <w:right w:w="15" w:type="dxa"/>
            </w:tcMar>
            <w:vAlign w:val="center"/>
          </w:tcPr>
          <w:p w14:paraId="7B274C21">
            <w:pPr>
              <w:spacing w:line="360" w:lineRule="auto"/>
              <w:textAlignment w:val="center"/>
              <w:rPr>
                <w:rFonts w:hint="eastAsia" w:ascii="仿宋" w:hAnsi="仿宋" w:eastAsia="仿宋" w:cs="宋体"/>
                <w:color w:val="auto"/>
                <w:sz w:val="24"/>
                <w:szCs w:val="24"/>
              </w:rPr>
            </w:pPr>
            <w:r>
              <w:rPr>
                <w:rFonts w:hint="eastAsia" w:ascii="仿宋" w:hAnsi="仿宋" w:eastAsia="仿宋" w:cs="宋体"/>
                <w:color w:val="auto"/>
                <w:sz w:val="24"/>
                <w:szCs w:val="24"/>
                <w:lang w:bidi="ar"/>
              </w:rPr>
              <w:t>（1）以上金额含税，乙方提供报账发票。</w:t>
            </w:r>
          </w:p>
        </w:tc>
      </w:tr>
      <w:tr w14:paraId="02D4547B">
        <w:tblPrEx>
          <w:tblCellMar>
            <w:top w:w="0" w:type="dxa"/>
            <w:left w:w="0" w:type="dxa"/>
            <w:bottom w:w="0" w:type="dxa"/>
            <w:right w:w="0" w:type="dxa"/>
          </w:tblCellMar>
        </w:tblPrEx>
        <w:trPr>
          <w:wBefore w:w="0" w:type="dxa"/>
          <w:wAfter w:w="0" w:type="dxa"/>
          <w:trHeight w:val="270" w:hRule="atLeast"/>
          <w:jc w:val="center"/>
        </w:trPr>
        <w:tc>
          <w:tcPr>
            <w:tcW w:w="667" w:type="dxa"/>
            <w:vMerge w:val="continue"/>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3B609B3D">
            <w:pPr>
              <w:spacing w:line="360" w:lineRule="auto"/>
              <w:jc w:val="center"/>
              <w:rPr>
                <w:rFonts w:hint="eastAsia" w:ascii="仿宋" w:hAnsi="仿宋" w:eastAsia="仿宋" w:cs="宋体"/>
                <w:color w:val="auto"/>
                <w:sz w:val="28"/>
                <w:szCs w:val="28"/>
              </w:rPr>
            </w:pPr>
          </w:p>
        </w:tc>
        <w:tc>
          <w:tcPr>
            <w:tcW w:w="9001" w:type="dxa"/>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9C6A7DA">
            <w:pPr>
              <w:spacing w:line="360" w:lineRule="auto"/>
              <w:textAlignment w:val="center"/>
              <w:rPr>
                <w:rFonts w:hint="eastAsia" w:ascii="仿宋" w:hAnsi="仿宋" w:eastAsia="仿宋" w:cs="宋体"/>
                <w:color w:val="auto"/>
                <w:sz w:val="24"/>
                <w:szCs w:val="24"/>
              </w:rPr>
            </w:pPr>
            <w:r>
              <w:rPr>
                <w:rFonts w:hint="eastAsia" w:ascii="仿宋" w:hAnsi="仿宋" w:eastAsia="仿宋" w:cs="宋体"/>
                <w:color w:val="auto"/>
                <w:sz w:val="24"/>
                <w:szCs w:val="24"/>
                <w:lang w:bidi="ar"/>
              </w:rPr>
              <w:t>（2）交货方式：</w:t>
            </w:r>
          </w:p>
        </w:tc>
      </w:tr>
      <w:tr w14:paraId="114AF391">
        <w:tblPrEx>
          <w:tblCellMar>
            <w:top w:w="0" w:type="dxa"/>
            <w:left w:w="0" w:type="dxa"/>
            <w:bottom w:w="0" w:type="dxa"/>
            <w:right w:w="0" w:type="dxa"/>
          </w:tblCellMar>
        </w:tblPrEx>
        <w:trPr>
          <w:wBefore w:w="0" w:type="dxa"/>
          <w:wAfter w:w="0" w:type="dxa"/>
          <w:trHeight w:val="270" w:hRule="atLeast"/>
          <w:jc w:val="center"/>
        </w:trPr>
        <w:tc>
          <w:tcPr>
            <w:tcW w:w="667" w:type="dxa"/>
            <w:vMerge w:val="continue"/>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497ECE5A">
            <w:pPr>
              <w:spacing w:line="360" w:lineRule="auto"/>
              <w:jc w:val="center"/>
              <w:rPr>
                <w:rFonts w:hint="eastAsia" w:ascii="仿宋" w:hAnsi="仿宋" w:eastAsia="仿宋" w:cs="宋体"/>
                <w:color w:val="auto"/>
                <w:sz w:val="28"/>
                <w:szCs w:val="28"/>
              </w:rPr>
            </w:pPr>
          </w:p>
        </w:tc>
        <w:tc>
          <w:tcPr>
            <w:tcW w:w="9001" w:type="dxa"/>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A146368">
            <w:pPr>
              <w:spacing w:line="360" w:lineRule="auto"/>
              <w:textAlignment w:val="center"/>
              <w:rPr>
                <w:rFonts w:hint="eastAsia" w:ascii="仿宋" w:hAnsi="仿宋" w:eastAsia="仿宋" w:cs="宋体"/>
                <w:color w:val="auto"/>
                <w:sz w:val="24"/>
                <w:szCs w:val="24"/>
              </w:rPr>
            </w:pPr>
            <w:r>
              <w:rPr>
                <w:rFonts w:hint="eastAsia" w:ascii="仿宋" w:hAnsi="仿宋" w:eastAsia="仿宋" w:cs="宋体"/>
                <w:color w:val="auto"/>
                <w:sz w:val="24"/>
                <w:szCs w:val="24"/>
                <w:lang w:bidi="ar"/>
              </w:rPr>
              <w:t>（3）交货地址：</w:t>
            </w:r>
          </w:p>
        </w:tc>
      </w:tr>
      <w:tr w14:paraId="75EB34C8">
        <w:tblPrEx>
          <w:tblCellMar>
            <w:top w:w="0" w:type="dxa"/>
            <w:left w:w="0" w:type="dxa"/>
            <w:bottom w:w="0" w:type="dxa"/>
            <w:right w:w="0" w:type="dxa"/>
          </w:tblCellMar>
        </w:tblPrEx>
        <w:trPr>
          <w:wBefore w:w="0" w:type="dxa"/>
          <w:wAfter w:w="0" w:type="dxa"/>
          <w:trHeight w:val="270" w:hRule="atLeast"/>
          <w:jc w:val="center"/>
        </w:trPr>
        <w:tc>
          <w:tcPr>
            <w:tcW w:w="667" w:type="dxa"/>
            <w:vMerge w:val="continue"/>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78D7A3CC">
            <w:pPr>
              <w:spacing w:line="360" w:lineRule="auto"/>
              <w:jc w:val="center"/>
              <w:rPr>
                <w:rFonts w:hint="eastAsia" w:ascii="仿宋" w:hAnsi="仿宋" w:eastAsia="仿宋" w:cs="宋体"/>
                <w:color w:val="auto"/>
                <w:sz w:val="28"/>
                <w:szCs w:val="28"/>
              </w:rPr>
            </w:pPr>
          </w:p>
        </w:tc>
        <w:tc>
          <w:tcPr>
            <w:tcW w:w="9001" w:type="dxa"/>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E4A31D8">
            <w:pPr>
              <w:spacing w:line="360" w:lineRule="auto"/>
              <w:textAlignment w:val="center"/>
              <w:rPr>
                <w:rFonts w:hint="eastAsia" w:ascii="仿宋" w:hAnsi="仿宋" w:eastAsia="仿宋" w:cs="宋体"/>
                <w:color w:val="auto"/>
                <w:sz w:val="24"/>
                <w:szCs w:val="24"/>
                <w:lang w:bidi="ar"/>
              </w:rPr>
            </w:pPr>
            <w:r>
              <w:rPr>
                <w:rFonts w:hint="eastAsia" w:ascii="仿宋" w:hAnsi="仿宋" w:eastAsia="仿宋" w:cs="宋体"/>
                <w:color w:val="auto"/>
                <w:sz w:val="24"/>
                <w:szCs w:val="24"/>
                <w:lang w:bidi="ar"/>
              </w:rPr>
              <w:t>（4）付款方式:</w:t>
            </w:r>
          </w:p>
        </w:tc>
      </w:tr>
      <w:tr w14:paraId="7BB97076">
        <w:tblPrEx>
          <w:tblCellMar>
            <w:top w:w="0" w:type="dxa"/>
            <w:left w:w="0" w:type="dxa"/>
            <w:bottom w:w="0" w:type="dxa"/>
            <w:right w:w="0" w:type="dxa"/>
          </w:tblCellMar>
        </w:tblPrEx>
        <w:trPr>
          <w:wBefore w:w="0" w:type="dxa"/>
          <w:wAfter w:w="0" w:type="dxa"/>
          <w:trHeight w:val="270" w:hRule="atLeast"/>
          <w:jc w:val="center"/>
        </w:trPr>
        <w:tc>
          <w:tcPr>
            <w:tcW w:w="667" w:type="dxa"/>
            <w:vMerge w:val="continue"/>
            <w:tcBorders>
              <w:top w:val="single" w:color="000000" w:sz="8" w:space="0"/>
              <w:left w:val="single" w:color="000000" w:sz="8" w:space="0"/>
              <w:bottom w:val="single" w:color="000000" w:sz="4" w:space="0"/>
              <w:right w:val="single" w:color="000000" w:sz="4" w:space="0"/>
            </w:tcBorders>
            <w:noWrap/>
            <w:tcMar>
              <w:top w:w="15" w:type="dxa"/>
              <w:left w:w="15" w:type="dxa"/>
              <w:right w:w="15" w:type="dxa"/>
            </w:tcMar>
            <w:vAlign w:val="center"/>
          </w:tcPr>
          <w:p w14:paraId="28347E45">
            <w:pPr>
              <w:spacing w:line="360" w:lineRule="auto"/>
              <w:jc w:val="center"/>
              <w:rPr>
                <w:rFonts w:hint="eastAsia" w:ascii="仿宋" w:hAnsi="仿宋" w:eastAsia="仿宋" w:cs="宋体"/>
                <w:color w:val="auto"/>
                <w:sz w:val="28"/>
                <w:szCs w:val="28"/>
              </w:rPr>
            </w:pPr>
          </w:p>
        </w:tc>
        <w:tc>
          <w:tcPr>
            <w:tcW w:w="9001" w:type="dxa"/>
            <w:gridSpan w:val="7"/>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722A9E5">
            <w:pPr>
              <w:spacing w:line="360" w:lineRule="auto"/>
              <w:textAlignment w:val="center"/>
              <w:rPr>
                <w:rFonts w:hint="eastAsia" w:ascii="仿宋" w:hAnsi="仿宋" w:eastAsia="仿宋" w:cs="宋体"/>
                <w:color w:val="auto"/>
                <w:sz w:val="24"/>
                <w:szCs w:val="24"/>
              </w:rPr>
            </w:pPr>
            <w:r>
              <w:rPr>
                <w:rFonts w:hint="eastAsia" w:ascii="仿宋" w:hAnsi="仿宋" w:eastAsia="仿宋" w:cs="宋体"/>
                <w:color w:val="auto"/>
                <w:sz w:val="24"/>
                <w:szCs w:val="24"/>
                <w:lang w:bidi="ar"/>
              </w:rPr>
              <w:t>（5）其它说明：</w:t>
            </w:r>
          </w:p>
        </w:tc>
      </w:tr>
    </w:tbl>
    <w:p w14:paraId="74012AAC">
      <w:pPr>
        <w:snapToGrid w:val="0"/>
        <w:spacing w:before="156" w:beforeLines="50" w:after="156" w:afterLines="50" w:line="360" w:lineRule="auto"/>
        <w:jc w:val="both"/>
        <w:outlineLvl w:val="0"/>
        <w:rPr>
          <w:rFonts w:hint="eastAsia" w:ascii="仿宋" w:hAnsi="仿宋" w:eastAsia="仿宋" w:cs="Tahoma"/>
          <w:b/>
          <w:color w:val="auto"/>
          <w:sz w:val="28"/>
          <w:szCs w:val="28"/>
        </w:rPr>
      </w:pPr>
      <w:r>
        <w:rPr>
          <w:rFonts w:hint="eastAsia" w:ascii="仿宋" w:hAnsi="仿宋" w:eastAsia="仿宋" w:cs="Tahoma"/>
          <w:b/>
          <w:color w:val="auto"/>
          <w:sz w:val="28"/>
          <w:szCs w:val="28"/>
        </w:rPr>
        <w:t>二、质量要求</w:t>
      </w:r>
    </w:p>
    <w:p w14:paraId="166459A9">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1</w:t>
      </w:r>
      <w:r>
        <w:rPr>
          <w:rFonts w:hint="eastAsia" w:ascii="仿宋" w:hAnsi="仿宋" w:eastAsia="仿宋" w:cs="宋体"/>
          <w:snapToGrid w:val="0"/>
          <w:color w:val="auto"/>
          <w:sz w:val="28"/>
          <w:szCs w:val="28"/>
        </w:rPr>
        <w:t>．</w:t>
      </w:r>
      <w:r>
        <w:rPr>
          <w:rFonts w:hint="eastAsia" w:ascii="仿宋" w:hAnsi="仿宋" w:eastAsia="仿宋" w:cs="Tahoma"/>
          <w:bCs/>
          <w:color w:val="auto"/>
          <w:sz w:val="28"/>
          <w:szCs w:val="28"/>
        </w:rPr>
        <w:t>乙方所提供的货物必须符合中华人民共和国国家安全、环保、节能、卫生标准，国家及有关行业产品质量认证标准，招标文件的质量要求及双方签字确认的相关承诺及协议。</w:t>
      </w:r>
    </w:p>
    <w:p w14:paraId="3A7547B7">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2．乙方所提供的货物必须是全新、未使用的原装产品，且在正常安装、使用和保养条件下，其使用寿命期内各项指标均达到本条第1款的质量要求。在货物最终验收后规定的质量保证期内，乙方应对因货物质量缺陷造成的任何不足在收到通知后10天内免费修补或调换。</w:t>
      </w:r>
    </w:p>
    <w:p w14:paraId="29EC09C5">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3．乙方在发货之前，对货物的有关内在和外观质量、规格、性能、数量进行准确的和全面的检验，并出具其货物符合合同规定的质量证书，作为本合同的有效附件。因货物的质量问题发生争议，由陕西省或西安市商检部门进行质量鉴定。符合质量标准的，鉴定费由甲方承担；不符合质量标准的，鉴定费由乙方承担。</w:t>
      </w:r>
    </w:p>
    <w:p w14:paraId="073B67A8">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4．除经甲方书面同意外，乙方不得转让其应履行的合同项下的权利义务。</w:t>
      </w:r>
    </w:p>
    <w:p w14:paraId="5CDD6953">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三、交货</w:t>
      </w:r>
    </w:p>
    <w:p w14:paraId="52DABCBE">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1．合同交货期：</w:t>
      </w:r>
    </w:p>
    <w:p w14:paraId="2F15D990">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2．交货地点：陕西国防工业职业技术学院校内甲方指定地点。</w:t>
      </w:r>
    </w:p>
    <w:p w14:paraId="49F12D35">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3．甲方收货联系人：</w:t>
      </w:r>
      <w:r>
        <w:rPr>
          <w:rFonts w:hint="eastAsia" w:ascii="仿宋" w:hAnsi="仿宋" w:eastAsia="仿宋" w:cs="Tahoma"/>
          <w:bCs/>
          <w:color w:val="auto"/>
          <w:sz w:val="28"/>
          <w:szCs w:val="28"/>
          <w:u w:val="single"/>
        </w:rPr>
        <w:t xml:space="preserve"> </w:t>
      </w:r>
      <w:r>
        <w:rPr>
          <w:rFonts w:hint="eastAsia" w:ascii="仿宋" w:hAnsi="仿宋" w:eastAsia="仿宋" w:cs="Tahoma"/>
          <w:bCs/>
          <w:color w:val="auto"/>
          <w:sz w:val="28"/>
          <w:szCs w:val="28"/>
          <w:u w:val="single"/>
          <w:lang w:val="en-US" w:eastAsia="zh-CN"/>
        </w:rPr>
        <w:t xml:space="preserve"> </w:t>
      </w:r>
      <w:r>
        <w:rPr>
          <w:rFonts w:hint="eastAsia" w:ascii="仿宋" w:hAnsi="仿宋" w:eastAsia="仿宋" w:cs="Tahoma"/>
          <w:bCs/>
          <w:color w:val="auto"/>
          <w:sz w:val="28"/>
          <w:szCs w:val="28"/>
          <w:u w:val="single"/>
        </w:rPr>
        <w:t xml:space="preserve">  </w:t>
      </w:r>
      <w:r>
        <w:rPr>
          <w:rFonts w:hint="eastAsia" w:ascii="仿宋" w:hAnsi="仿宋" w:eastAsia="仿宋" w:cs="Tahoma"/>
          <w:bCs/>
          <w:color w:val="auto"/>
          <w:sz w:val="28"/>
          <w:szCs w:val="28"/>
        </w:rPr>
        <w:t>；联系电话（手机）：</w:t>
      </w:r>
      <w:r>
        <w:rPr>
          <w:rFonts w:hint="eastAsia" w:ascii="仿宋" w:hAnsi="仿宋" w:eastAsia="仿宋" w:cs="Tahoma"/>
          <w:bCs/>
          <w:color w:val="auto"/>
          <w:sz w:val="28"/>
          <w:szCs w:val="28"/>
          <w:u w:val="single"/>
        </w:rPr>
        <w:t xml:space="preserve">    </w:t>
      </w:r>
      <w:r>
        <w:rPr>
          <w:rFonts w:hint="eastAsia" w:ascii="仿宋" w:hAnsi="仿宋" w:eastAsia="仿宋" w:cs="Tahoma"/>
          <w:bCs/>
          <w:color w:val="auto"/>
          <w:sz w:val="28"/>
          <w:szCs w:val="28"/>
        </w:rPr>
        <w:t>。</w:t>
      </w:r>
    </w:p>
    <w:p w14:paraId="32A3EE80">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4．乙方送货联系人：</w:t>
      </w:r>
      <w:r>
        <w:rPr>
          <w:rFonts w:hint="eastAsia" w:ascii="仿宋" w:hAnsi="仿宋" w:eastAsia="仿宋" w:cs="Tahoma"/>
          <w:bCs/>
          <w:color w:val="auto"/>
          <w:sz w:val="28"/>
          <w:szCs w:val="28"/>
          <w:u w:val="single"/>
        </w:rPr>
        <w:t xml:space="preserve">    </w:t>
      </w:r>
      <w:r>
        <w:rPr>
          <w:rFonts w:hint="eastAsia" w:ascii="仿宋" w:hAnsi="仿宋" w:eastAsia="仿宋" w:cs="Tahoma"/>
          <w:bCs/>
          <w:color w:val="auto"/>
          <w:sz w:val="28"/>
          <w:szCs w:val="28"/>
        </w:rPr>
        <w:t>；联系电话（手机）：</w:t>
      </w:r>
      <w:r>
        <w:rPr>
          <w:rFonts w:hint="eastAsia" w:ascii="仿宋" w:hAnsi="仿宋" w:eastAsia="仿宋" w:cs="Tahoma"/>
          <w:bCs/>
          <w:color w:val="auto"/>
          <w:sz w:val="28"/>
          <w:szCs w:val="28"/>
          <w:u w:val="single"/>
        </w:rPr>
        <w:t xml:space="preserve">      </w:t>
      </w:r>
      <w:r>
        <w:rPr>
          <w:rFonts w:hint="eastAsia" w:ascii="仿宋" w:hAnsi="仿宋" w:eastAsia="仿宋" w:cs="Tahoma"/>
          <w:bCs/>
          <w:color w:val="auto"/>
          <w:sz w:val="28"/>
          <w:szCs w:val="28"/>
        </w:rPr>
        <w:t>。</w:t>
      </w:r>
    </w:p>
    <w:p w14:paraId="32533B8F">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5．送货及开箱点货：</w:t>
      </w:r>
    </w:p>
    <w:p w14:paraId="177CC4D3">
      <w:pPr>
        <w:tabs>
          <w:tab w:val="left" w:pos="720"/>
        </w:tabs>
        <w:snapToGrid w:val="0"/>
        <w:spacing w:line="360" w:lineRule="auto"/>
        <w:ind w:left="720"/>
        <w:jc w:val="both"/>
        <w:rPr>
          <w:rFonts w:ascii="仿宋" w:hAnsi="仿宋" w:eastAsia="仿宋" w:cs="Tahoma"/>
          <w:color w:val="auto"/>
          <w:sz w:val="28"/>
          <w:szCs w:val="28"/>
        </w:rPr>
      </w:pPr>
      <w:r>
        <w:rPr>
          <w:rFonts w:hint="eastAsia" w:ascii="仿宋" w:hAnsi="仿宋" w:eastAsia="仿宋" w:cs="Tahoma"/>
          <w:color w:val="auto"/>
          <w:sz w:val="28"/>
          <w:szCs w:val="28"/>
        </w:rPr>
        <w:t>1）送货前，乙方应提前通知甲方并安排好送货及开箱点货的时间。</w:t>
      </w:r>
    </w:p>
    <w:p w14:paraId="47B6D1BA">
      <w:pPr>
        <w:tabs>
          <w:tab w:val="left" w:pos="720"/>
        </w:tabs>
        <w:snapToGrid w:val="0"/>
        <w:spacing w:line="360" w:lineRule="auto"/>
        <w:ind w:left="720"/>
        <w:jc w:val="both"/>
        <w:rPr>
          <w:rFonts w:ascii="仿宋" w:hAnsi="仿宋" w:eastAsia="仿宋"/>
          <w:color w:val="auto"/>
          <w:sz w:val="28"/>
          <w:szCs w:val="28"/>
        </w:rPr>
      </w:pPr>
      <w:r>
        <w:rPr>
          <w:rFonts w:hint="eastAsia" w:ascii="仿宋" w:hAnsi="仿宋" w:eastAsia="仿宋" w:cs="Tahoma"/>
          <w:color w:val="auto"/>
          <w:sz w:val="28"/>
          <w:szCs w:val="28"/>
        </w:rPr>
        <w:t>2）乙方应将货物运送到甲方指定的交货地点，并于货物抵达当天与甲方共同开箱清点货物。</w:t>
      </w:r>
      <w:r>
        <w:rPr>
          <w:rFonts w:hint="eastAsia" w:ascii="仿宋" w:hAnsi="仿宋" w:eastAsia="仿宋"/>
          <w:color w:val="auto"/>
          <w:sz w:val="28"/>
          <w:szCs w:val="28"/>
        </w:rPr>
        <w:t>如因特殊原因不能于送货当天开箱验货的，则货物在甲方地点存放期间发生的货物丢失的风险由乙方承担。</w:t>
      </w:r>
    </w:p>
    <w:p w14:paraId="48F581E0">
      <w:pPr>
        <w:tabs>
          <w:tab w:val="left" w:pos="720"/>
        </w:tabs>
        <w:snapToGrid w:val="0"/>
        <w:spacing w:line="360" w:lineRule="auto"/>
        <w:ind w:left="720"/>
        <w:jc w:val="both"/>
        <w:rPr>
          <w:rFonts w:ascii="仿宋" w:hAnsi="仿宋" w:eastAsia="仿宋" w:cs="Tahoma"/>
          <w:color w:val="auto"/>
          <w:sz w:val="28"/>
          <w:szCs w:val="28"/>
        </w:rPr>
      </w:pPr>
      <w:r>
        <w:rPr>
          <w:rFonts w:hint="eastAsia" w:ascii="仿宋" w:hAnsi="仿宋" w:eastAsia="仿宋" w:cs="Tahoma"/>
          <w:color w:val="auto"/>
          <w:sz w:val="28"/>
          <w:szCs w:val="28"/>
        </w:rPr>
        <w:t>3）交货时，甲乙双方须共同派员参加，经清点无误后由甲方签收，同时双方对交货状况拍照留存。</w:t>
      </w:r>
      <w:r>
        <w:rPr>
          <w:rFonts w:hint="eastAsia" w:ascii="仿宋" w:hAnsi="仿宋" w:eastAsia="仿宋"/>
          <w:color w:val="auto"/>
          <w:sz w:val="28"/>
          <w:szCs w:val="28"/>
        </w:rPr>
        <w:t>若乙方不派员参加开箱的，视同乙方完全接受甲方开箱检验清点的所有结果，并对开箱检验清点发现的所有问题负全部责任。</w:t>
      </w:r>
    </w:p>
    <w:p w14:paraId="5F164E62">
      <w:pPr>
        <w:tabs>
          <w:tab w:val="left" w:pos="720"/>
        </w:tabs>
        <w:snapToGrid w:val="0"/>
        <w:spacing w:line="360" w:lineRule="auto"/>
        <w:ind w:left="720"/>
        <w:jc w:val="both"/>
        <w:rPr>
          <w:rFonts w:ascii="仿宋" w:hAnsi="仿宋" w:eastAsia="仿宋" w:cs="Tahoma"/>
          <w:color w:val="auto"/>
          <w:sz w:val="28"/>
          <w:szCs w:val="28"/>
        </w:rPr>
      </w:pPr>
      <w:r>
        <w:rPr>
          <w:rFonts w:hint="eastAsia" w:ascii="仿宋" w:hAnsi="仿宋" w:eastAsia="仿宋" w:cs="Tahoma"/>
          <w:color w:val="auto"/>
          <w:sz w:val="28"/>
          <w:szCs w:val="28"/>
        </w:rPr>
        <w:t>4）乙方提供的送货单上须注明合同编号、货物名称、包装数量、外包装是否完好、外包装尺寸（体积）、重量等信息。</w:t>
      </w:r>
    </w:p>
    <w:p w14:paraId="31B003F3">
      <w:pPr>
        <w:tabs>
          <w:tab w:val="left" w:pos="720"/>
        </w:tabs>
        <w:snapToGrid w:val="0"/>
        <w:spacing w:line="360" w:lineRule="auto"/>
        <w:ind w:left="720"/>
        <w:jc w:val="both"/>
        <w:rPr>
          <w:rFonts w:ascii="仿宋" w:hAnsi="仿宋" w:eastAsia="仿宋" w:cs="Tahoma"/>
          <w:color w:val="auto"/>
          <w:sz w:val="28"/>
          <w:szCs w:val="28"/>
        </w:rPr>
      </w:pPr>
      <w:r>
        <w:rPr>
          <w:rFonts w:hint="eastAsia" w:ascii="仿宋" w:hAnsi="仿宋" w:eastAsia="仿宋" w:cs="Tahoma"/>
          <w:color w:val="auto"/>
          <w:sz w:val="28"/>
          <w:szCs w:val="28"/>
        </w:rPr>
        <w:t>5）乙方应将合同货物的产品序列号、用户手册、技术资料（包括设备说明书、使用手册和其它相关技术资料）及配件、随机工具等一并交付给甲方。</w:t>
      </w:r>
    </w:p>
    <w:p w14:paraId="2AA27CFB">
      <w:pPr>
        <w:tabs>
          <w:tab w:val="left" w:pos="720"/>
        </w:tabs>
        <w:snapToGrid w:val="0"/>
        <w:spacing w:line="360" w:lineRule="auto"/>
        <w:ind w:left="720"/>
        <w:jc w:val="both"/>
        <w:rPr>
          <w:rFonts w:ascii="仿宋" w:hAnsi="仿宋" w:eastAsia="仿宋"/>
          <w:color w:val="auto"/>
          <w:sz w:val="28"/>
          <w:szCs w:val="28"/>
        </w:rPr>
      </w:pPr>
      <w:r>
        <w:rPr>
          <w:rFonts w:hint="eastAsia" w:ascii="仿宋" w:hAnsi="仿宋" w:eastAsia="仿宋"/>
          <w:color w:val="auto"/>
          <w:sz w:val="28"/>
          <w:szCs w:val="28"/>
        </w:rPr>
        <w:t>6）开箱时，双方共同检验货物表面状况，核对货物名称、制造商、型号、规格、产地等信息，清点货物及配置数量。</w:t>
      </w:r>
    </w:p>
    <w:p w14:paraId="33F9E1B9">
      <w:pPr>
        <w:tabs>
          <w:tab w:val="left" w:pos="720"/>
        </w:tabs>
        <w:snapToGrid w:val="0"/>
        <w:spacing w:line="360" w:lineRule="auto"/>
        <w:ind w:left="720"/>
        <w:jc w:val="both"/>
        <w:rPr>
          <w:rFonts w:ascii="仿宋" w:hAnsi="仿宋" w:eastAsia="仿宋" w:cs="Tahoma"/>
          <w:color w:val="auto"/>
          <w:sz w:val="28"/>
          <w:szCs w:val="28"/>
        </w:rPr>
      </w:pPr>
      <w:r>
        <w:rPr>
          <w:rFonts w:hint="eastAsia" w:ascii="仿宋" w:hAnsi="仿宋" w:eastAsia="仿宋" w:cs="Tahoma"/>
          <w:color w:val="auto"/>
          <w:sz w:val="28"/>
          <w:szCs w:val="28"/>
        </w:rPr>
        <w:t>7）交货时，如发现货物外包装有破损、被撞击的痕迹，或货物数量不足的，甲方有权拒收，按未交货处理。</w:t>
      </w:r>
    </w:p>
    <w:p w14:paraId="00B53835">
      <w:pPr>
        <w:tabs>
          <w:tab w:val="left" w:pos="720"/>
        </w:tabs>
        <w:snapToGrid w:val="0"/>
        <w:spacing w:line="360" w:lineRule="auto"/>
        <w:ind w:left="720"/>
        <w:jc w:val="both"/>
        <w:rPr>
          <w:rFonts w:ascii="仿宋" w:hAnsi="仿宋" w:eastAsia="仿宋" w:cs="Tahoma"/>
          <w:color w:val="auto"/>
          <w:sz w:val="28"/>
          <w:szCs w:val="28"/>
        </w:rPr>
      </w:pPr>
      <w:r>
        <w:rPr>
          <w:rFonts w:hint="eastAsia" w:ascii="仿宋" w:hAnsi="仿宋" w:eastAsia="仿宋"/>
          <w:color w:val="auto"/>
          <w:sz w:val="28"/>
          <w:szCs w:val="28"/>
        </w:rPr>
        <w:t>8）若开箱时发现有缺少货物的，乙方应在合同交货期内补足缺少的货物。乙方须保证补发的货物进货渠道合法，</w:t>
      </w:r>
      <w:r>
        <w:rPr>
          <w:rFonts w:hint="eastAsia" w:ascii="仿宋" w:hAnsi="仿宋" w:eastAsia="仿宋" w:cs="Tahoma"/>
          <w:color w:val="auto"/>
          <w:sz w:val="28"/>
          <w:szCs w:val="28"/>
        </w:rPr>
        <w:t>进口产品须具备原厂合格证和原产地证明以及进口海关商检部门出具的检验证明。</w:t>
      </w:r>
    </w:p>
    <w:p w14:paraId="39663287">
      <w:pPr>
        <w:tabs>
          <w:tab w:val="left" w:pos="720"/>
        </w:tabs>
        <w:snapToGrid w:val="0"/>
        <w:spacing w:line="360" w:lineRule="auto"/>
        <w:ind w:left="720"/>
        <w:jc w:val="both"/>
        <w:rPr>
          <w:rFonts w:ascii="仿宋" w:hAnsi="仿宋" w:eastAsia="仿宋" w:cs="Tahoma"/>
          <w:color w:val="auto"/>
          <w:sz w:val="28"/>
          <w:szCs w:val="28"/>
        </w:rPr>
      </w:pPr>
      <w:r>
        <w:rPr>
          <w:rFonts w:hint="eastAsia" w:ascii="仿宋" w:hAnsi="仿宋" w:eastAsia="仿宋" w:cs="Tahoma"/>
          <w:color w:val="auto"/>
          <w:sz w:val="28"/>
          <w:szCs w:val="28"/>
        </w:rPr>
        <w:t>9）甲方接收乙方交货及开箱清点不视为对乙方提供货物质量的认可，甲方收货后发现乙方提供的货物不符合本合同约定的质量标准，有权要求乙方更换，直至符合本合同约定的质量标准。因乙方提供的货物不符合本合同约定的质量标准给甲方造成损失的，由乙方负责赔偿。</w:t>
      </w:r>
    </w:p>
    <w:p w14:paraId="031D4517">
      <w:pPr>
        <w:snapToGrid w:val="0"/>
        <w:spacing w:before="156" w:beforeLines="50" w:after="156" w:afterLines="50" w:line="360" w:lineRule="auto"/>
        <w:jc w:val="both"/>
        <w:outlineLvl w:val="0"/>
        <w:rPr>
          <w:rFonts w:hint="eastAsia" w:ascii="仿宋" w:hAnsi="仿宋" w:eastAsia="仿宋" w:cs="Tahoma"/>
          <w:b/>
          <w:color w:val="auto"/>
          <w:sz w:val="28"/>
          <w:szCs w:val="28"/>
        </w:rPr>
      </w:pPr>
      <w:r>
        <w:rPr>
          <w:rFonts w:hint="eastAsia" w:ascii="仿宋" w:hAnsi="仿宋" w:eastAsia="仿宋" w:cs="Tahoma"/>
          <w:b/>
          <w:color w:val="auto"/>
          <w:sz w:val="28"/>
          <w:szCs w:val="28"/>
        </w:rPr>
        <w:t>四、安装、调试、试运行，培训</w:t>
      </w:r>
    </w:p>
    <w:p w14:paraId="67130B78">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1．货物到达甲方使用现场、开箱清点无误后，</w:t>
      </w:r>
      <w:r>
        <w:rPr>
          <w:rFonts w:ascii="仿宋" w:hAnsi="仿宋" w:eastAsia="仿宋" w:cs="Tahoma"/>
          <w:bCs/>
          <w:color w:val="auto"/>
          <w:sz w:val="28"/>
          <w:szCs w:val="28"/>
        </w:rPr>
        <w:t>3</w:t>
      </w:r>
      <w:r>
        <w:rPr>
          <w:rFonts w:hint="eastAsia" w:ascii="仿宋" w:hAnsi="仿宋" w:eastAsia="仿宋" w:cs="Tahoma"/>
          <w:bCs/>
          <w:color w:val="auto"/>
          <w:sz w:val="28"/>
          <w:szCs w:val="28"/>
        </w:rPr>
        <w:t>日内或甲方另行要求的时间内，由乙方负责完成货物的现场安装、调试、正常启动。乙方技术人员应按照投标文件提供的技术方案和行业操作规范对货物进行安装、调试作业。乙方在甲方现场安装调试期间须遵守甲方相关管理规定，遵守甲方作息时间，避免出现扰乱教学秩序、造成环境污染等问题，不得损坏、损毁甲方物品。如造成甲方财产损失的，责任由乙方承担。</w:t>
      </w:r>
    </w:p>
    <w:p w14:paraId="08F2D814">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2．乙方将货物安装、调试(含软硬件</w:t>
      </w:r>
      <w:r>
        <w:rPr>
          <w:rFonts w:ascii="仿宋" w:hAnsi="仿宋" w:eastAsia="仿宋" w:cs="Tahoma"/>
          <w:bCs/>
          <w:color w:val="auto"/>
          <w:sz w:val="28"/>
          <w:szCs w:val="28"/>
        </w:rPr>
        <w:t>)</w:t>
      </w:r>
      <w:r>
        <w:rPr>
          <w:rFonts w:hint="eastAsia" w:ascii="仿宋" w:hAnsi="仿宋" w:eastAsia="仿宋" w:cs="Tahoma"/>
          <w:bCs/>
          <w:color w:val="auto"/>
          <w:sz w:val="28"/>
          <w:szCs w:val="28"/>
        </w:rPr>
        <w:t>完毕，正常启动后，进入试运行阶段。</w:t>
      </w:r>
    </w:p>
    <w:p w14:paraId="5D63A565">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3．货物试运行期间如出现故障，乙方应立即进行处理。如故障无法修复，应作退/换货处理。由此产生的费用由乙方承担。</w:t>
      </w:r>
    </w:p>
    <w:p w14:paraId="2FB090C0">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4．货物试运行期间，乙方负责根据投标文件提供的培训方案和行业规范向甲方至少</w:t>
      </w:r>
      <w:r>
        <w:rPr>
          <w:rFonts w:hint="eastAsia" w:ascii="仿宋" w:hAnsi="仿宋" w:eastAsia="仿宋" w:cs="Tahoma"/>
          <w:bCs/>
          <w:color w:val="auto"/>
          <w:sz w:val="28"/>
          <w:szCs w:val="28"/>
          <w:lang w:val="en-US" w:eastAsia="zh-CN"/>
        </w:rPr>
        <w:t>1</w:t>
      </w:r>
      <w:r>
        <w:rPr>
          <w:rFonts w:hint="eastAsia" w:ascii="仿宋" w:hAnsi="仿宋" w:eastAsia="仿宋" w:cs="Tahoma"/>
          <w:bCs/>
          <w:color w:val="auto"/>
          <w:sz w:val="28"/>
          <w:szCs w:val="28"/>
        </w:rPr>
        <w:t>名人员进行现场培训，培训内容至少包括货物现场操作使用、运行、维护、修理等相关课程，提供必需的培训资料、完整的仪器操作和维护手册等。培训费用全部包含在合同总价中，甲方不再支付任何费用。</w:t>
      </w:r>
    </w:p>
    <w:p w14:paraId="4394E0B7">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五、合同验收</w:t>
      </w:r>
    </w:p>
    <w:p w14:paraId="1D219C6F">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1</w:t>
      </w:r>
      <w:r>
        <w:rPr>
          <w:rFonts w:hint="eastAsia" w:ascii="仿宋" w:hAnsi="仿宋" w:eastAsia="仿宋" w:cs="Tahoma"/>
          <w:bCs/>
          <w:color w:val="auto"/>
          <w:sz w:val="28"/>
          <w:szCs w:val="28"/>
        </w:rPr>
        <w:t>．</w:t>
      </w:r>
      <w:r>
        <w:rPr>
          <w:rFonts w:hint="eastAsia" w:ascii="仿宋" w:hAnsi="仿宋" w:eastAsia="仿宋" w:cs="Tahoma"/>
          <w:bCs/>
          <w:color w:val="auto"/>
          <w:sz w:val="28"/>
          <w:szCs w:val="28"/>
        </w:rPr>
        <w:t>初验：货物安装调试合格后，进行试运行测试，通过试运行测试后进入试运行，试运行不少于30日历日。由</w:t>
      </w:r>
      <w:r>
        <w:rPr>
          <w:rFonts w:hint="eastAsia" w:ascii="仿宋" w:hAnsi="仿宋" w:eastAsia="仿宋" w:cs="Tahoma"/>
          <w:bCs/>
          <w:color w:val="auto"/>
          <w:sz w:val="28"/>
          <w:szCs w:val="28"/>
          <w:lang w:eastAsia="zh-CN"/>
        </w:rPr>
        <w:t>乙方</w:t>
      </w:r>
      <w:r>
        <w:rPr>
          <w:rFonts w:hint="eastAsia" w:ascii="仿宋" w:hAnsi="仿宋" w:eastAsia="仿宋" w:cs="Tahoma"/>
          <w:bCs/>
          <w:color w:val="auto"/>
          <w:sz w:val="28"/>
          <w:szCs w:val="28"/>
        </w:rPr>
        <w:t>向</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提供详细的试运行报告，报告中至少应详细记录各种实测、运行数据。项目试运行且通过</w:t>
      </w:r>
      <w:r>
        <w:rPr>
          <w:rFonts w:hint="eastAsia" w:ascii="仿宋" w:hAnsi="仿宋" w:eastAsia="仿宋" w:cs="Tahoma"/>
          <w:bCs/>
          <w:color w:val="auto"/>
          <w:sz w:val="28"/>
          <w:szCs w:val="28"/>
          <w:lang w:eastAsia="zh-CN"/>
        </w:rPr>
        <w:t>乙方</w:t>
      </w:r>
      <w:r>
        <w:rPr>
          <w:rFonts w:hint="eastAsia" w:ascii="仿宋" w:hAnsi="仿宋" w:eastAsia="仿宋" w:cs="Tahoma"/>
          <w:bCs/>
          <w:color w:val="auto"/>
          <w:sz w:val="28"/>
          <w:szCs w:val="28"/>
        </w:rPr>
        <w:t>自测后提交</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使用单位进行初验。验收内容按试运行报告，现场查看货物运行情况。初验完成后，</w:t>
      </w:r>
      <w:r>
        <w:rPr>
          <w:rFonts w:hint="eastAsia" w:ascii="仿宋" w:hAnsi="仿宋" w:eastAsia="仿宋" w:cs="Tahoma"/>
          <w:bCs/>
          <w:color w:val="auto"/>
          <w:sz w:val="28"/>
          <w:szCs w:val="28"/>
          <w:lang w:eastAsia="zh-CN"/>
        </w:rPr>
        <w:t>乙方</w:t>
      </w:r>
      <w:r>
        <w:rPr>
          <w:rFonts w:hint="eastAsia" w:ascii="仿宋" w:hAnsi="仿宋" w:eastAsia="仿宋" w:cs="Tahoma"/>
          <w:bCs/>
          <w:color w:val="auto"/>
          <w:sz w:val="28"/>
          <w:szCs w:val="28"/>
        </w:rPr>
        <w:t>填写初验验收报告并经</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 xml:space="preserve">使用单位确认。 </w:t>
      </w:r>
    </w:p>
    <w:p w14:paraId="216EA3AF">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w:t>
      </w:r>
      <w:r>
        <w:rPr>
          <w:rFonts w:hint="eastAsia" w:ascii="仿宋" w:hAnsi="仿宋" w:eastAsia="仿宋" w:cs="Tahoma"/>
          <w:bCs/>
          <w:color w:val="auto"/>
          <w:sz w:val="28"/>
          <w:szCs w:val="28"/>
        </w:rPr>
        <w:t>．</w:t>
      </w:r>
      <w:r>
        <w:rPr>
          <w:rFonts w:hint="eastAsia" w:ascii="仿宋" w:hAnsi="仿宋" w:eastAsia="仿宋" w:cs="Tahoma"/>
          <w:bCs/>
          <w:color w:val="auto"/>
          <w:sz w:val="28"/>
          <w:szCs w:val="28"/>
        </w:rPr>
        <w:t>整体验收即终验：该项目初验完成后，</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根据使用单位提供的初验验收报告，组织</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相关人员和专家组成的验收小组对系统设备进行最终验收。验收依据为本合同文本、招投标文件和国内相应的标准、规范，本合同内所列功能参数逐条验收，并符合</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稳定安全正常使用的需求。验收合格后，</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填写终验验收单，并由</w:t>
      </w:r>
      <w:r>
        <w:rPr>
          <w:rFonts w:hint="eastAsia" w:ascii="仿宋" w:hAnsi="仿宋" w:eastAsia="仿宋" w:cs="Tahoma"/>
          <w:bCs/>
          <w:color w:val="auto"/>
          <w:sz w:val="28"/>
          <w:szCs w:val="28"/>
          <w:lang w:eastAsia="zh-CN"/>
        </w:rPr>
        <w:t>乙方</w:t>
      </w:r>
      <w:r>
        <w:rPr>
          <w:rFonts w:hint="eastAsia" w:ascii="仿宋" w:hAnsi="仿宋" w:eastAsia="仿宋" w:cs="Tahoma"/>
          <w:bCs/>
          <w:color w:val="auto"/>
          <w:sz w:val="28"/>
          <w:szCs w:val="28"/>
        </w:rPr>
        <w:t>向</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提交货物所包含的所有资料，以便</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使用单位日后管理和维护。验收不合格的，限期整改，整改过程中产生的费用和货物发生的一切损失由</w:t>
      </w:r>
      <w:r>
        <w:rPr>
          <w:rFonts w:hint="eastAsia" w:ascii="仿宋" w:hAnsi="仿宋" w:eastAsia="仿宋" w:cs="Tahoma"/>
          <w:bCs/>
          <w:color w:val="auto"/>
          <w:sz w:val="28"/>
          <w:szCs w:val="28"/>
          <w:lang w:eastAsia="zh-CN"/>
        </w:rPr>
        <w:t>乙方</w:t>
      </w:r>
      <w:r>
        <w:rPr>
          <w:rFonts w:hint="eastAsia" w:ascii="仿宋" w:hAnsi="仿宋" w:eastAsia="仿宋" w:cs="Tahoma"/>
          <w:bCs/>
          <w:color w:val="auto"/>
          <w:sz w:val="28"/>
          <w:szCs w:val="28"/>
        </w:rPr>
        <w:t>承担；整改超过二次的，</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有权单方解除本合同，</w:t>
      </w:r>
      <w:r>
        <w:rPr>
          <w:rFonts w:hint="eastAsia" w:ascii="仿宋" w:hAnsi="仿宋" w:eastAsia="仿宋" w:cs="Tahoma"/>
          <w:bCs/>
          <w:color w:val="auto"/>
          <w:sz w:val="28"/>
          <w:szCs w:val="28"/>
          <w:lang w:eastAsia="zh-CN"/>
        </w:rPr>
        <w:t>乙方</w:t>
      </w:r>
      <w:r>
        <w:rPr>
          <w:rFonts w:hint="eastAsia" w:ascii="仿宋" w:hAnsi="仿宋" w:eastAsia="仿宋" w:cs="Tahoma"/>
          <w:bCs/>
          <w:color w:val="auto"/>
          <w:sz w:val="28"/>
          <w:szCs w:val="28"/>
        </w:rPr>
        <w:t>应无条件退还已收取的全部合同价款，并按合同总价30%向</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支付违约金，违约金不足弥补</w:t>
      </w:r>
      <w:r>
        <w:rPr>
          <w:rFonts w:hint="eastAsia" w:ascii="仿宋" w:hAnsi="仿宋" w:eastAsia="仿宋" w:cs="Tahoma"/>
          <w:bCs/>
          <w:color w:val="auto"/>
          <w:sz w:val="28"/>
          <w:szCs w:val="28"/>
          <w:lang w:eastAsia="zh-CN"/>
        </w:rPr>
        <w:t>甲方</w:t>
      </w:r>
      <w:r>
        <w:rPr>
          <w:rFonts w:hint="eastAsia" w:ascii="仿宋" w:hAnsi="仿宋" w:eastAsia="仿宋" w:cs="Tahoma"/>
          <w:bCs/>
          <w:color w:val="auto"/>
          <w:sz w:val="28"/>
          <w:szCs w:val="28"/>
        </w:rPr>
        <w:t>损失的，由</w:t>
      </w:r>
      <w:r>
        <w:rPr>
          <w:rFonts w:hint="eastAsia" w:ascii="仿宋" w:hAnsi="仿宋" w:eastAsia="仿宋" w:cs="Tahoma"/>
          <w:bCs/>
          <w:color w:val="auto"/>
          <w:sz w:val="28"/>
          <w:szCs w:val="28"/>
          <w:lang w:eastAsia="zh-CN"/>
        </w:rPr>
        <w:t>乙方</w:t>
      </w:r>
      <w:r>
        <w:rPr>
          <w:rFonts w:hint="eastAsia" w:ascii="仿宋" w:hAnsi="仿宋" w:eastAsia="仿宋" w:cs="Tahoma"/>
          <w:bCs/>
          <w:color w:val="auto"/>
          <w:sz w:val="28"/>
          <w:szCs w:val="28"/>
        </w:rPr>
        <w:t>负责赔偿。</w:t>
      </w:r>
    </w:p>
    <w:p w14:paraId="1245F354">
      <w:pPr>
        <w:snapToGrid w:val="0"/>
        <w:spacing w:before="156" w:beforeLines="50" w:after="156" w:afterLines="50" w:line="360" w:lineRule="auto"/>
        <w:jc w:val="both"/>
        <w:outlineLvl w:val="0"/>
        <w:rPr>
          <w:rFonts w:hint="eastAsia" w:ascii="仿宋" w:hAnsi="仿宋" w:eastAsia="仿宋" w:cs="Tahoma"/>
          <w:b/>
          <w:color w:val="auto"/>
          <w:sz w:val="28"/>
          <w:szCs w:val="28"/>
        </w:rPr>
      </w:pPr>
      <w:r>
        <w:rPr>
          <w:rFonts w:hint="eastAsia" w:ascii="仿宋" w:hAnsi="仿宋" w:eastAsia="仿宋" w:cs="Tahoma"/>
          <w:b/>
          <w:color w:val="auto"/>
          <w:sz w:val="28"/>
          <w:szCs w:val="28"/>
        </w:rPr>
        <w:t>六、付款</w:t>
      </w:r>
    </w:p>
    <w:p w14:paraId="4F677E97">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1．</w:t>
      </w:r>
      <w:r>
        <w:rPr>
          <w:rFonts w:hint="eastAsia" w:ascii="仿宋" w:hAnsi="仿宋" w:eastAsia="仿宋" w:cs="Tahoma"/>
          <w:bCs/>
          <w:color w:val="auto"/>
          <w:sz w:val="28"/>
          <w:szCs w:val="28"/>
          <w:lang w:val="en-US" w:eastAsia="zh-CN"/>
        </w:rPr>
        <w:t>付款方式：</w:t>
      </w:r>
      <w:r>
        <w:rPr>
          <w:rFonts w:hint="eastAsia" w:ascii="仿宋" w:hAnsi="仿宋" w:eastAsia="仿宋" w:cs="Tahoma"/>
          <w:bCs/>
          <w:color w:val="auto"/>
          <w:sz w:val="28"/>
          <w:szCs w:val="28"/>
          <w:u w:val="single"/>
          <w:lang w:val="en-US" w:eastAsia="zh-CN"/>
        </w:rPr>
        <w:t xml:space="preserve">           </w:t>
      </w:r>
      <w:r>
        <w:rPr>
          <w:rFonts w:hint="eastAsia" w:ascii="仿宋" w:hAnsi="仿宋" w:eastAsia="仿宋" w:cs="Tahoma"/>
          <w:bCs/>
          <w:color w:val="auto"/>
          <w:sz w:val="28"/>
          <w:szCs w:val="28"/>
        </w:rPr>
        <w:t>。</w:t>
      </w:r>
    </w:p>
    <w:p w14:paraId="70E89336">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2．乙方指定以下账户为唯一收款账户（与发票账户信息一致）：</w:t>
      </w:r>
    </w:p>
    <w:p w14:paraId="6E4E4991">
      <w:pPr>
        <w:snapToGrid w:val="0"/>
        <w:spacing w:line="360" w:lineRule="auto"/>
        <w:ind w:left="420" w:leftChars="200" w:firstLine="420" w:firstLine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账户名称：</w:t>
      </w:r>
    </w:p>
    <w:p w14:paraId="07D91964">
      <w:pPr>
        <w:snapToGrid w:val="0"/>
        <w:spacing w:line="360" w:lineRule="auto"/>
        <w:ind w:left="420" w:leftChars="200" w:firstLine="420" w:firstLineChars="150"/>
        <w:jc w:val="both"/>
        <w:rPr>
          <w:rFonts w:ascii="仿宋" w:hAnsi="仿宋" w:eastAsia="仿宋" w:cs="Tahoma"/>
          <w:bCs/>
          <w:color w:val="auto"/>
          <w:sz w:val="28"/>
          <w:szCs w:val="28"/>
        </w:rPr>
      </w:pPr>
      <w:r>
        <w:rPr>
          <w:rFonts w:hint="eastAsia" w:ascii="仿宋" w:hAnsi="仿宋" w:eastAsia="仿宋" w:cs="Tahoma"/>
          <w:bCs/>
          <w:color w:val="auto"/>
          <w:sz w:val="28"/>
          <w:szCs w:val="28"/>
        </w:rPr>
        <w:t>开户银行：</w:t>
      </w:r>
    </w:p>
    <w:p w14:paraId="13AB9987">
      <w:pPr>
        <w:snapToGrid w:val="0"/>
        <w:spacing w:line="360" w:lineRule="auto"/>
        <w:ind w:left="420" w:leftChars="200" w:firstLine="420" w:firstLineChars="150"/>
        <w:jc w:val="both"/>
        <w:rPr>
          <w:rFonts w:ascii="仿宋" w:hAnsi="仿宋" w:eastAsia="仿宋" w:cs="Tahoma"/>
          <w:bCs/>
          <w:color w:val="auto"/>
          <w:sz w:val="28"/>
          <w:szCs w:val="28"/>
        </w:rPr>
      </w:pPr>
      <w:r>
        <w:rPr>
          <w:rFonts w:hint="eastAsia" w:ascii="仿宋" w:hAnsi="仿宋" w:eastAsia="仿宋" w:cs="Tahoma"/>
          <w:bCs/>
          <w:color w:val="auto"/>
          <w:sz w:val="28"/>
          <w:szCs w:val="28"/>
        </w:rPr>
        <w:t>银行账号：</w:t>
      </w:r>
    </w:p>
    <w:p w14:paraId="541F1957">
      <w:pPr>
        <w:snapToGrid w:val="0"/>
        <w:spacing w:line="360" w:lineRule="auto"/>
        <w:ind w:left="420" w:leftChars="200" w:firstLine="420" w:firstLineChars="150"/>
        <w:jc w:val="both"/>
        <w:rPr>
          <w:rFonts w:ascii="仿宋" w:hAnsi="仿宋" w:eastAsia="仿宋" w:cs="Tahoma"/>
          <w:bCs/>
          <w:color w:val="auto"/>
          <w:sz w:val="28"/>
          <w:szCs w:val="28"/>
        </w:rPr>
      </w:pPr>
      <w:r>
        <w:rPr>
          <w:rFonts w:hint="eastAsia" w:ascii="仿宋" w:hAnsi="仿宋" w:eastAsia="仿宋" w:cs="Tahoma"/>
          <w:bCs/>
          <w:color w:val="auto"/>
          <w:sz w:val="28"/>
          <w:szCs w:val="28"/>
        </w:rPr>
        <w:t>甲方向上述账户汇出款项或向有关部门递交款项申请后，即视为已履行付款义务，在汇款过程中，因乙方账户的原因（包括但不限于账号被注销、被冻结等）导致其无法收取款项的，由乙方承担相应后果。如乙方存在违约行为，甲方有权直接在应付费用中扣除乙方应承担违约金或赔偿金等等。</w:t>
      </w:r>
    </w:p>
    <w:p w14:paraId="613A3315">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七、售后服务</w:t>
      </w:r>
    </w:p>
    <w:p w14:paraId="282C0BE1">
      <w:pPr>
        <w:snapToGrid w:val="0"/>
        <w:spacing w:line="360" w:lineRule="auto"/>
        <w:ind w:left="840" w:leftChars="200" w:hanging="420" w:hangingChars="150"/>
        <w:jc w:val="both"/>
        <w:rPr>
          <w:rFonts w:hint="default" w:ascii="仿宋" w:hAnsi="仿宋" w:eastAsia="仿宋" w:cs="Tahoma"/>
          <w:bCs/>
          <w:color w:val="auto"/>
          <w:sz w:val="28"/>
          <w:szCs w:val="28"/>
          <w:u w:val="single"/>
          <w:lang w:val="en-US" w:eastAsia="zh-CN"/>
        </w:rPr>
      </w:pPr>
      <w:r>
        <w:rPr>
          <w:rFonts w:hint="eastAsia" w:ascii="仿宋" w:hAnsi="仿宋" w:eastAsia="仿宋" w:cs="Tahoma"/>
          <w:bCs/>
          <w:color w:val="auto"/>
          <w:sz w:val="28"/>
          <w:szCs w:val="28"/>
        </w:rPr>
        <w:t>1．质保期：</w:t>
      </w:r>
      <w:r>
        <w:rPr>
          <w:rFonts w:hint="eastAsia" w:ascii="仿宋" w:hAnsi="仿宋" w:eastAsia="仿宋" w:cs="Tahoma"/>
          <w:bCs/>
          <w:color w:val="auto"/>
          <w:sz w:val="28"/>
          <w:szCs w:val="28"/>
          <w:u w:val="single"/>
          <w:lang w:val="en-US" w:eastAsia="zh-CN"/>
        </w:rPr>
        <w:t xml:space="preserve">              。</w:t>
      </w:r>
    </w:p>
    <w:p w14:paraId="221FC8DD">
      <w:pPr>
        <w:snapToGrid w:val="0"/>
        <w:spacing w:line="360" w:lineRule="auto"/>
        <w:ind w:left="840" w:leftChars="200" w:hanging="420" w:hangingChars="150"/>
        <w:jc w:val="both"/>
        <w:rPr>
          <w:rFonts w:ascii="仿宋" w:hAnsi="仿宋" w:eastAsia="仿宋" w:cs="Tahoma"/>
          <w:bCs/>
          <w:color w:val="auto"/>
          <w:sz w:val="28"/>
          <w:szCs w:val="28"/>
        </w:rPr>
      </w:pPr>
    </w:p>
    <w:p w14:paraId="180CC13D">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八、保密</w:t>
      </w:r>
    </w:p>
    <w:p w14:paraId="3BE847F0">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14:paraId="35A32767">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2．除了合同本身之外，上款所列举的任何物件均是甲方的财产。如果甲方有要求，乙方在完成合同后应将这些物件及全部自制件还给甲方。</w:t>
      </w:r>
    </w:p>
    <w:p w14:paraId="481AC9A0">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九、知识产权</w:t>
      </w:r>
    </w:p>
    <w:p w14:paraId="715B2592">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1．乙方及制造商承诺对本合同标的具有合法的知识产权，保证甲方对产品的使用不侵犯任何第三方的合法权益。如受第三方提出的侵犯其专利权、商标权或其他知识产权的起诉或其他任何形式的索赔，由乙方对甲方进行赔偿并承担一切责任。</w:t>
      </w:r>
    </w:p>
    <w:p w14:paraId="1BA3F70A">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2．乙方为执行本合同而提供的技术资料、软件的使用权归甲方所有。</w:t>
      </w:r>
    </w:p>
    <w:p w14:paraId="45DFA473">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十、产权与风险转移</w:t>
      </w:r>
    </w:p>
    <w:p w14:paraId="5439CFEB">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1．货物的产权在货物通过验收，合格交付甲方使用前均归属于乙方。</w:t>
      </w:r>
    </w:p>
    <w:p w14:paraId="0FAAC5B4">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2．因货物验收不合格甲方拒收，或双方已解除合同，货物毁损、灭失的风险由乙方承担。</w:t>
      </w:r>
    </w:p>
    <w:p w14:paraId="0302C7E9">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3．产权和风险的转移，不影响因乙方履行义务不符合约定导致甲方要求其承担违约责任的权利。</w:t>
      </w:r>
    </w:p>
    <w:p w14:paraId="3401724A">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十一、违约责任</w:t>
      </w:r>
    </w:p>
    <w:p w14:paraId="6E93B94D">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1．乙方未能依照本合同约定交付物品的，应向甲方支付合同总额</w:t>
      </w:r>
      <w:r>
        <w:rPr>
          <w:rFonts w:ascii="仿宋" w:hAnsi="仿宋" w:eastAsia="仿宋" w:cs="Tahoma"/>
          <w:bCs/>
          <w:color w:val="auto"/>
          <w:sz w:val="28"/>
          <w:szCs w:val="28"/>
        </w:rPr>
        <w:t>10%</w:t>
      </w:r>
      <w:r>
        <w:rPr>
          <w:rFonts w:hint="eastAsia" w:ascii="仿宋" w:hAnsi="仿宋" w:eastAsia="仿宋" w:cs="Tahoma"/>
          <w:bCs/>
          <w:color w:val="auto"/>
          <w:sz w:val="28"/>
          <w:szCs w:val="28"/>
        </w:rPr>
        <w:t>的违约金，同时，已收取的甲方预付款需退还。因乙方未能交付物品给甲方造成损失的，乙方还应赔偿甲方损失。</w:t>
      </w:r>
    </w:p>
    <w:p w14:paraId="3D1A59BF">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2．乙方交付的物品经乙方验收不合格或不符合本合同约定，甲方有权拒收，按乙方未能交付物品处置，交货期限不予顺延。</w:t>
      </w:r>
    </w:p>
    <w:p w14:paraId="4FD375C1">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3．甲方无正当理由拒收物品或拒付货款的，则向乙方支付合同总额</w:t>
      </w:r>
      <w:r>
        <w:rPr>
          <w:rFonts w:ascii="仿宋" w:hAnsi="仿宋" w:eastAsia="仿宋" w:cs="Tahoma"/>
          <w:bCs/>
          <w:color w:val="auto"/>
          <w:sz w:val="28"/>
          <w:szCs w:val="28"/>
        </w:rPr>
        <w:t>5%</w:t>
      </w:r>
      <w:r>
        <w:rPr>
          <w:rFonts w:hint="eastAsia" w:ascii="仿宋" w:hAnsi="仿宋" w:eastAsia="仿宋" w:cs="Tahoma"/>
          <w:bCs/>
          <w:color w:val="auto"/>
          <w:sz w:val="28"/>
          <w:szCs w:val="28"/>
        </w:rPr>
        <w:t>的违约金，已收乙方物品的退还物品。</w:t>
      </w:r>
    </w:p>
    <w:p w14:paraId="3A63F946">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4．乙方逾期交付物品（含逾期补足物品的），则每日按合同总额</w:t>
      </w:r>
      <w:r>
        <w:rPr>
          <w:rFonts w:hint="eastAsia" w:ascii="仿宋" w:hAnsi="仿宋" w:eastAsia="仿宋" w:cs="Tahoma"/>
          <w:bCs/>
          <w:color w:val="auto"/>
          <w:sz w:val="28"/>
          <w:szCs w:val="28"/>
          <w:lang w:val="en-US" w:eastAsia="zh-CN"/>
        </w:rPr>
        <w:t>1%</w:t>
      </w:r>
      <w:r>
        <w:rPr>
          <w:rFonts w:hint="eastAsia" w:ascii="仿宋" w:hAnsi="仿宋" w:eastAsia="仿宋" w:cs="Tahoma"/>
          <w:bCs/>
          <w:color w:val="auto"/>
          <w:sz w:val="28"/>
          <w:szCs w:val="28"/>
        </w:rPr>
        <w:t>向甲方偿付违约金，违约金总额不超过合同总金额的1</w:t>
      </w:r>
      <w:r>
        <w:rPr>
          <w:rFonts w:ascii="仿宋" w:hAnsi="仿宋" w:eastAsia="仿宋" w:cs="Tahoma"/>
          <w:bCs/>
          <w:color w:val="auto"/>
          <w:sz w:val="28"/>
          <w:szCs w:val="28"/>
        </w:rPr>
        <w:t>0</w:t>
      </w:r>
      <w:bookmarkStart w:id="0" w:name="OLE_LINK2"/>
      <w:bookmarkStart w:id="1" w:name="OLE_LINK1"/>
      <w:r>
        <w:rPr>
          <w:rFonts w:hint="eastAsia" w:ascii="仿宋" w:hAnsi="仿宋" w:eastAsia="仿宋" w:cs="Tahoma"/>
          <w:bCs/>
          <w:color w:val="auto"/>
          <w:sz w:val="28"/>
          <w:szCs w:val="28"/>
        </w:rPr>
        <w:t>%</w:t>
      </w:r>
      <w:bookmarkEnd w:id="0"/>
      <w:bookmarkEnd w:id="1"/>
      <w:r>
        <w:rPr>
          <w:rFonts w:hint="eastAsia" w:ascii="仿宋" w:hAnsi="仿宋" w:eastAsia="仿宋" w:cs="Tahoma"/>
          <w:bCs/>
          <w:color w:val="auto"/>
          <w:sz w:val="28"/>
          <w:szCs w:val="28"/>
        </w:rPr>
        <w:t>。逾期交付超过15天，甲方有权终止合同，按乙方未能交付物品处置，乙方向甲方支付合同总额</w:t>
      </w:r>
      <w:r>
        <w:rPr>
          <w:rFonts w:ascii="仿宋" w:hAnsi="仿宋" w:eastAsia="仿宋" w:cs="Tahoma"/>
          <w:bCs/>
          <w:color w:val="auto"/>
          <w:sz w:val="28"/>
          <w:szCs w:val="28"/>
        </w:rPr>
        <w:t>10%</w:t>
      </w:r>
      <w:r>
        <w:rPr>
          <w:rFonts w:hint="eastAsia" w:ascii="仿宋" w:hAnsi="仿宋" w:eastAsia="仿宋" w:cs="Tahoma"/>
          <w:bCs/>
          <w:color w:val="auto"/>
          <w:sz w:val="28"/>
          <w:szCs w:val="28"/>
        </w:rPr>
        <w:t>的违约金。</w:t>
      </w:r>
    </w:p>
    <w:p w14:paraId="2BD67BE9">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十二、争端的解决</w:t>
      </w:r>
    </w:p>
    <w:p w14:paraId="3771CD90">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1．凡与本合同有关而引起的一切争议，甲乙双方通过友好协商解决，如协商不成，任何一方可以向甲方所在地法院提起诉讼。</w:t>
      </w:r>
    </w:p>
    <w:p w14:paraId="7CDB0495">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2．在诉讼期间，除提交法院审理的事项外，合同其它部分应继续履行。</w:t>
      </w:r>
    </w:p>
    <w:p w14:paraId="47298672">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十三、合同解除和终止</w:t>
      </w:r>
    </w:p>
    <w:p w14:paraId="493EC6BD">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甲乙双方各自完成合同规定的责任和义务，合同自然终止。</w:t>
      </w:r>
    </w:p>
    <w:p w14:paraId="7F35F7FA">
      <w:pPr>
        <w:snapToGrid w:val="0"/>
        <w:spacing w:before="156" w:beforeLines="50" w:after="156" w:afterLines="50" w:line="360" w:lineRule="auto"/>
        <w:jc w:val="both"/>
        <w:outlineLvl w:val="0"/>
        <w:rPr>
          <w:rFonts w:ascii="仿宋" w:hAnsi="仿宋" w:eastAsia="仿宋" w:cs="Tahoma"/>
          <w:b/>
          <w:color w:val="auto"/>
          <w:sz w:val="28"/>
          <w:szCs w:val="28"/>
        </w:rPr>
      </w:pPr>
      <w:r>
        <w:rPr>
          <w:rFonts w:hint="eastAsia" w:ascii="仿宋" w:hAnsi="仿宋" w:eastAsia="仿宋" w:cs="Tahoma"/>
          <w:b/>
          <w:color w:val="auto"/>
          <w:sz w:val="28"/>
          <w:szCs w:val="28"/>
        </w:rPr>
        <w:t>十四、其它</w:t>
      </w:r>
    </w:p>
    <w:p w14:paraId="3ECE34BC">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1．本合同乙方在任何情况下都不得全部或部分转让其应履行的合同义务，乙方不得将本合同分包给他人。</w:t>
      </w:r>
    </w:p>
    <w:p w14:paraId="35479A6F">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2．在执行本合同的过程中，所有经双方签署确认的文件（包括会议纪要、补充合同、合同修改书、往来信函等）均为本合同的有效组成部分，其生效日期为双方签字盖章或确认之日期。</w:t>
      </w:r>
    </w:p>
    <w:p w14:paraId="77FB79AD">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3．本合同一式</w:t>
      </w:r>
      <w:r>
        <w:rPr>
          <w:rFonts w:hint="eastAsia" w:ascii="仿宋" w:hAnsi="仿宋" w:eastAsia="仿宋" w:cs="Tahoma"/>
          <w:bCs/>
          <w:color w:val="auto"/>
          <w:sz w:val="28"/>
          <w:szCs w:val="28"/>
          <w:lang w:val="en-US" w:eastAsia="zh-CN"/>
        </w:rPr>
        <w:t xml:space="preserve">  </w:t>
      </w:r>
      <w:r>
        <w:rPr>
          <w:rFonts w:hint="eastAsia" w:ascii="仿宋" w:hAnsi="仿宋" w:eastAsia="仿宋" w:cs="Tahoma"/>
          <w:bCs/>
          <w:color w:val="auto"/>
          <w:sz w:val="28"/>
          <w:szCs w:val="28"/>
        </w:rPr>
        <w:t>份，甲方</w:t>
      </w:r>
      <w:r>
        <w:rPr>
          <w:rFonts w:hint="eastAsia" w:ascii="仿宋" w:hAnsi="仿宋" w:eastAsia="仿宋" w:cs="Tahoma"/>
          <w:bCs/>
          <w:color w:val="auto"/>
          <w:sz w:val="28"/>
          <w:szCs w:val="28"/>
          <w:lang w:val="en-US" w:eastAsia="zh-CN"/>
        </w:rPr>
        <w:t xml:space="preserve">  </w:t>
      </w:r>
      <w:r>
        <w:rPr>
          <w:rFonts w:hint="eastAsia" w:ascii="仿宋" w:hAnsi="仿宋" w:eastAsia="仿宋" w:cs="Tahoma"/>
          <w:bCs/>
          <w:color w:val="auto"/>
          <w:sz w:val="28"/>
          <w:szCs w:val="28"/>
        </w:rPr>
        <w:t>份，乙方</w:t>
      </w:r>
      <w:r>
        <w:rPr>
          <w:rFonts w:hint="eastAsia" w:ascii="仿宋" w:hAnsi="仿宋" w:eastAsia="仿宋" w:cs="Tahoma"/>
          <w:bCs/>
          <w:color w:val="auto"/>
          <w:sz w:val="28"/>
          <w:szCs w:val="28"/>
          <w:lang w:val="en-US" w:eastAsia="zh-CN"/>
        </w:rPr>
        <w:t xml:space="preserve">  </w:t>
      </w:r>
      <w:r>
        <w:rPr>
          <w:rFonts w:hint="eastAsia" w:ascii="仿宋" w:hAnsi="仿宋" w:eastAsia="仿宋" w:cs="Tahoma"/>
          <w:bCs/>
          <w:color w:val="auto"/>
          <w:sz w:val="28"/>
          <w:szCs w:val="28"/>
        </w:rPr>
        <w:t>份。</w:t>
      </w:r>
    </w:p>
    <w:p w14:paraId="2EEF8EBE">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4．合同经双方授权代表签字、盖章后生效，生效日以签字日为准。</w:t>
      </w:r>
    </w:p>
    <w:p w14:paraId="18C233BA">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5．本合同页眉页脚标有页码，加盖骑缝章，缺页之合同为无效合同。</w:t>
      </w:r>
    </w:p>
    <w:p w14:paraId="240F96D3">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6．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14:paraId="7EF41257">
      <w:pPr>
        <w:snapToGrid w:val="0"/>
        <w:spacing w:line="360" w:lineRule="auto"/>
        <w:ind w:left="840" w:leftChars="200" w:hanging="420" w:hangingChars="150"/>
        <w:jc w:val="both"/>
        <w:rPr>
          <w:rFonts w:ascii="仿宋" w:hAnsi="仿宋" w:eastAsia="仿宋" w:cs="Tahoma"/>
          <w:bCs/>
          <w:color w:val="auto"/>
          <w:sz w:val="28"/>
          <w:szCs w:val="28"/>
        </w:rPr>
      </w:pPr>
      <w:r>
        <w:rPr>
          <w:rFonts w:hint="eastAsia" w:ascii="仿宋" w:hAnsi="仿宋" w:eastAsia="仿宋" w:cs="Tahoma"/>
          <w:bCs/>
          <w:color w:val="auto"/>
          <w:sz w:val="28"/>
          <w:szCs w:val="28"/>
        </w:rPr>
        <w:t>7．由于不能预见、不能避免和不能克服的客观的自然原因或社会原因，致使本合同不能履行或者不能完全履行时，遇到上述不可抗力事件的一方，应立即书面通知合同其他方，并应在不可抗力事件发生后十五天内，向合同其他方提供经不可抗力事件发生地区县级以上政府部门出具的证明合同不能履行或需要延期履行、部分履行的有效证明文件原件，由合同各方按事件对履行合同影响的程度协商决定是否解除合同、或者部分或全部免除履行合同的责任、或者延期履行合同。遭受不可抗力的一方未履行上述义务的，不能免除其违约责任。</w:t>
      </w:r>
    </w:p>
    <w:p w14:paraId="274C309F">
      <w:pPr>
        <w:snapToGrid w:val="0"/>
        <w:spacing w:line="360" w:lineRule="auto"/>
        <w:ind w:left="840" w:leftChars="200" w:hanging="420" w:hangingChars="150"/>
        <w:jc w:val="both"/>
        <w:rPr>
          <w:rFonts w:hint="eastAsia" w:ascii="仿宋" w:hAnsi="仿宋" w:eastAsia="仿宋" w:cs="Tahoma"/>
          <w:bCs/>
          <w:color w:val="auto"/>
          <w:sz w:val="28"/>
          <w:szCs w:val="28"/>
        </w:rPr>
      </w:pPr>
      <w:r>
        <w:rPr>
          <w:rFonts w:hint="eastAsia" w:ascii="仿宋" w:hAnsi="仿宋" w:eastAsia="仿宋" w:cs="Tahoma"/>
          <w:bCs/>
          <w:color w:val="auto"/>
          <w:sz w:val="28"/>
          <w:szCs w:val="28"/>
        </w:rPr>
        <w:t>8．未详尽之处双方协商解决。</w:t>
      </w:r>
    </w:p>
    <w:p w14:paraId="2F01A97C">
      <w:pPr>
        <w:snapToGrid w:val="0"/>
        <w:spacing w:line="360" w:lineRule="auto"/>
        <w:ind w:left="840" w:leftChars="200" w:hanging="420" w:hangingChars="150"/>
        <w:jc w:val="both"/>
        <w:rPr>
          <w:rFonts w:hint="eastAsia" w:ascii="仿宋" w:hAnsi="仿宋" w:eastAsia="仿宋" w:cs="Tahoma"/>
          <w:bCs/>
          <w:color w:val="auto"/>
          <w:sz w:val="28"/>
          <w:szCs w:val="28"/>
        </w:rPr>
      </w:pPr>
    </w:p>
    <w:p w14:paraId="5437C3C3">
      <w:pPr>
        <w:snapToGrid w:val="0"/>
        <w:spacing w:line="360" w:lineRule="auto"/>
        <w:ind w:left="840" w:leftChars="200" w:hanging="420" w:hangingChars="150"/>
        <w:jc w:val="center"/>
        <w:rPr>
          <w:rFonts w:ascii="仿宋" w:hAnsi="仿宋" w:eastAsia="仿宋" w:cs="Tahoma"/>
          <w:color w:val="auto"/>
          <w:sz w:val="28"/>
          <w:szCs w:val="28"/>
        </w:rPr>
      </w:pPr>
      <w:r>
        <w:rPr>
          <w:rFonts w:hint="eastAsia" w:ascii="仿宋" w:hAnsi="仿宋" w:eastAsia="仿宋" w:cs="Tahoma"/>
          <w:color w:val="auto"/>
          <w:sz w:val="28"/>
          <w:szCs w:val="28"/>
        </w:rPr>
        <w:t>（以下无正文）</w:t>
      </w:r>
    </w:p>
    <w:tbl>
      <w:tblPr>
        <w:tblStyle w:val="8"/>
        <w:tblW w:w="4935"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4468"/>
        <w:gridCol w:w="5370"/>
      </w:tblGrid>
      <w:tr w14:paraId="2F2673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noWrap w:val="0"/>
            <w:vAlign w:val="center"/>
          </w:tcPr>
          <w:p w14:paraId="3788DE38">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甲  方</w:t>
            </w:r>
          </w:p>
        </w:tc>
        <w:tc>
          <w:tcPr>
            <w:tcW w:w="2729" w:type="pct"/>
            <w:noWrap w:val="0"/>
            <w:vAlign w:val="center"/>
          </w:tcPr>
          <w:p w14:paraId="358DB86F">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乙  方</w:t>
            </w:r>
          </w:p>
        </w:tc>
      </w:tr>
      <w:tr w14:paraId="04CBD2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1134" w:hRule="atLeast"/>
          <w:jc w:val="center"/>
        </w:trPr>
        <w:tc>
          <w:tcPr>
            <w:tcW w:w="2271" w:type="pct"/>
            <w:noWrap w:val="0"/>
            <w:vAlign w:val="center"/>
          </w:tcPr>
          <w:p w14:paraId="18CCEDCC">
            <w:pPr>
              <w:spacing w:line="360" w:lineRule="auto"/>
              <w:rPr>
                <w:rFonts w:ascii="仿宋" w:hAnsi="仿宋" w:eastAsia="仿宋" w:cs="宋体"/>
                <w:color w:val="auto"/>
                <w:sz w:val="24"/>
                <w:szCs w:val="24"/>
              </w:rPr>
            </w:pPr>
            <w:r>
              <w:rPr>
                <w:rFonts w:hint="eastAsia" w:ascii="仿宋" w:hAnsi="仿宋" w:eastAsia="仿宋" w:cs="Tahoma"/>
                <w:b/>
                <w:color w:val="auto"/>
                <w:sz w:val="24"/>
                <w:szCs w:val="24"/>
              </w:rPr>
              <w:t>陕西国防工业职业技术学院</w:t>
            </w:r>
            <w:r>
              <w:rPr>
                <w:rFonts w:hint="eastAsia" w:ascii="仿宋" w:hAnsi="仿宋" w:eastAsia="仿宋" w:cs="宋体"/>
                <w:color w:val="auto"/>
                <w:sz w:val="24"/>
                <w:szCs w:val="24"/>
              </w:rPr>
              <w:t>（盖章）</w:t>
            </w:r>
          </w:p>
        </w:tc>
        <w:tc>
          <w:tcPr>
            <w:tcW w:w="2729" w:type="pct"/>
            <w:noWrap w:val="0"/>
            <w:vAlign w:val="center"/>
          </w:tcPr>
          <w:p w14:paraId="30F046B8">
            <w:pPr>
              <w:spacing w:line="360" w:lineRule="auto"/>
              <w:jc w:val="both"/>
              <w:rPr>
                <w:rFonts w:ascii="仿宋" w:hAnsi="仿宋" w:eastAsia="仿宋" w:cs="宋体"/>
                <w:color w:val="auto"/>
                <w:sz w:val="24"/>
                <w:szCs w:val="24"/>
              </w:rPr>
            </w:pPr>
            <w:r>
              <w:rPr>
                <w:rFonts w:hint="eastAsia" w:ascii="仿宋" w:hAnsi="仿宋" w:eastAsia="仿宋" w:cs="宋体"/>
                <w:color w:val="auto"/>
                <w:sz w:val="24"/>
                <w:szCs w:val="24"/>
              </w:rPr>
              <w:t>（盖章）</w:t>
            </w:r>
          </w:p>
        </w:tc>
      </w:tr>
      <w:tr w14:paraId="1AD4A5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noWrap w:val="0"/>
            <w:vAlign w:val="center"/>
          </w:tcPr>
          <w:p w14:paraId="425376DC">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地址：陕西省西安市鄠邑区人民路8号</w:t>
            </w:r>
          </w:p>
        </w:tc>
        <w:tc>
          <w:tcPr>
            <w:tcW w:w="2729" w:type="pct"/>
            <w:noWrap w:val="0"/>
            <w:vAlign w:val="center"/>
          </w:tcPr>
          <w:p w14:paraId="69C6BEA4">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地址：</w:t>
            </w:r>
          </w:p>
        </w:tc>
      </w:tr>
      <w:tr w14:paraId="3258106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noWrap w:val="0"/>
            <w:vAlign w:val="center"/>
          </w:tcPr>
          <w:p w14:paraId="779092FC">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邮编：</w:t>
            </w:r>
          </w:p>
        </w:tc>
        <w:tc>
          <w:tcPr>
            <w:tcW w:w="2729" w:type="pct"/>
            <w:noWrap w:val="0"/>
            <w:vAlign w:val="center"/>
          </w:tcPr>
          <w:p w14:paraId="22B34132">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邮编：</w:t>
            </w:r>
          </w:p>
        </w:tc>
      </w:tr>
      <w:tr w14:paraId="6364A0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tcBorders>
              <w:bottom w:val="single" w:color="auto" w:sz="4" w:space="0"/>
            </w:tcBorders>
            <w:noWrap w:val="0"/>
            <w:vAlign w:val="center"/>
          </w:tcPr>
          <w:p w14:paraId="0B1EDB49">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 xml:space="preserve">法定代表人： </w:t>
            </w:r>
          </w:p>
        </w:tc>
        <w:tc>
          <w:tcPr>
            <w:tcW w:w="2729" w:type="pct"/>
            <w:noWrap w:val="0"/>
            <w:vAlign w:val="center"/>
          </w:tcPr>
          <w:p w14:paraId="6D9FC1BC">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法定代表人：</w:t>
            </w:r>
          </w:p>
        </w:tc>
      </w:tr>
      <w:tr w14:paraId="1D187B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tcBorders>
              <w:top w:val="single" w:color="auto" w:sz="4" w:space="0"/>
            </w:tcBorders>
            <w:noWrap w:val="0"/>
            <w:vAlign w:val="center"/>
          </w:tcPr>
          <w:p w14:paraId="40BAB3DD">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被授权代表：（签字）</w:t>
            </w:r>
          </w:p>
        </w:tc>
        <w:tc>
          <w:tcPr>
            <w:tcW w:w="2729" w:type="pct"/>
            <w:noWrap w:val="0"/>
            <w:vAlign w:val="center"/>
          </w:tcPr>
          <w:p w14:paraId="6538E652">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被授权代表：（签字）</w:t>
            </w:r>
          </w:p>
        </w:tc>
      </w:tr>
      <w:tr w14:paraId="20E3D4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noWrap w:val="0"/>
            <w:vAlign w:val="center"/>
          </w:tcPr>
          <w:p w14:paraId="2EB78781">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电话：</w:t>
            </w:r>
          </w:p>
        </w:tc>
        <w:tc>
          <w:tcPr>
            <w:tcW w:w="2729" w:type="pct"/>
            <w:noWrap w:val="0"/>
            <w:vAlign w:val="center"/>
          </w:tcPr>
          <w:p w14:paraId="1007F97E">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电话：</w:t>
            </w:r>
          </w:p>
        </w:tc>
      </w:tr>
      <w:tr w14:paraId="41F36C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tcBorders>
              <w:bottom w:val="single" w:color="auto" w:sz="4" w:space="0"/>
            </w:tcBorders>
            <w:noWrap w:val="0"/>
            <w:vAlign w:val="center"/>
          </w:tcPr>
          <w:p w14:paraId="614A587C">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传真：</w:t>
            </w:r>
          </w:p>
        </w:tc>
        <w:tc>
          <w:tcPr>
            <w:tcW w:w="2729" w:type="pct"/>
            <w:noWrap w:val="0"/>
            <w:vAlign w:val="center"/>
          </w:tcPr>
          <w:p w14:paraId="7BF4B493">
            <w:pPr>
              <w:spacing w:line="360" w:lineRule="auto"/>
              <w:rPr>
                <w:rFonts w:ascii="仿宋" w:hAnsi="仿宋" w:eastAsia="仿宋" w:cs="宋体"/>
                <w:color w:val="auto"/>
                <w:sz w:val="24"/>
                <w:szCs w:val="24"/>
              </w:rPr>
            </w:pPr>
            <w:r>
              <w:rPr>
                <w:rFonts w:hint="eastAsia" w:ascii="仿宋" w:hAnsi="仿宋" w:eastAsia="仿宋" w:cs="宋体"/>
                <w:color w:val="auto"/>
                <w:sz w:val="24"/>
                <w:szCs w:val="24"/>
              </w:rPr>
              <w:t>传真：</w:t>
            </w:r>
          </w:p>
        </w:tc>
      </w:tr>
      <w:tr w14:paraId="3E3618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tcBorders>
              <w:top w:val="single" w:color="auto" w:sz="4" w:space="0"/>
              <w:bottom w:val="single" w:color="auto" w:sz="4" w:space="0"/>
            </w:tcBorders>
            <w:noWrap w:val="0"/>
            <w:vAlign w:val="center"/>
          </w:tcPr>
          <w:p w14:paraId="4B60D880">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 xml:space="preserve">开户银行： </w:t>
            </w:r>
          </w:p>
        </w:tc>
        <w:tc>
          <w:tcPr>
            <w:tcW w:w="2729" w:type="pct"/>
            <w:noWrap w:val="0"/>
            <w:vAlign w:val="center"/>
          </w:tcPr>
          <w:p w14:paraId="5FE2D1BC">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开户银行：</w:t>
            </w:r>
          </w:p>
        </w:tc>
      </w:tr>
      <w:tr w14:paraId="2B8579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tcBorders>
              <w:top w:val="single" w:color="auto" w:sz="4" w:space="0"/>
              <w:bottom w:val="single" w:color="auto" w:sz="4" w:space="0"/>
            </w:tcBorders>
            <w:noWrap w:val="0"/>
            <w:vAlign w:val="center"/>
          </w:tcPr>
          <w:p w14:paraId="7624B853">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账户名称：</w:t>
            </w:r>
            <w:r>
              <w:rPr>
                <w:rFonts w:hint="eastAsia" w:ascii="仿宋" w:hAnsi="仿宋" w:eastAsia="仿宋" w:cs="宋体"/>
                <w:color w:val="auto"/>
                <w:sz w:val="24"/>
                <w:szCs w:val="24"/>
                <w:lang w:val="en-US" w:eastAsia="zh-CN"/>
              </w:rPr>
              <w:t>陕西国防工业职业技术学院</w:t>
            </w:r>
            <w:r>
              <w:rPr>
                <w:rFonts w:hint="eastAsia" w:ascii="仿宋" w:hAnsi="仿宋" w:eastAsia="仿宋" w:cs="宋体"/>
                <w:color w:val="auto"/>
                <w:sz w:val="24"/>
                <w:szCs w:val="24"/>
              </w:rPr>
              <w:t xml:space="preserve"> </w:t>
            </w:r>
          </w:p>
        </w:tc>
        <w:tc>
          <w:tcPr>
            <w:tcW w:w="2729" w:type="pct"/>
            <w:tcBorders>
              <w:bottom w:val="single" w:color="auto" w:sz="4" w:space="0"/>
            </w:tcBorders>
            <w:noWrap w:val="0"/>
            <w:vAlign w:val="center"/>
          </w:tcPr>
          <w:p w14:paraId="46E38550">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账户名称：</w:t>
            </w:r>
          </w:p>
        </w:tc>
      </w:tr>
      <w:tr w14:paraId="311774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wBefore w:w="0" w:type="dxa"/>
          <w:wAfter w:w="0" w:type="dxa"/>
          <w:trHeight w:val="624" w:hRule="atLeast"/>
          <w:jc w:val="center"/>
        </w:trPr>
        <w:tc>
          <w:tcPr>
            <w:tcW w:w="2271" w:type="pct"/>
            <w:tcBorders>
              <w:top w:val="single" w:color="auto" w:sz="4" w:space="0"/>
            </w:tcBorders>
            <w:noWrap w:val="0"/>
            <w:vAlign w:val="center"/>
          </w:tcPr>
          <w:p w14:paraId="0CDE1917">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 xml:space="preserve">账号: </w:t>
            </w:r>
          </w:p>
        </w:tc>
        <w:tc>
          <w:tcPr>
            <w:tcW w:w="2729" w:type="pct"/>
            <w:tcBorders>
              <w:top w:val="single" w:color="auto" w:sz="4" w:space="0"/>
            </w:tcBorders>
            <w:noWrap w:val="0"/>
            <w:vAlign w:val="center"/>
          </w:tcPr>
          <w:p w14:paraId="318F15A9">
            <w:pPr>
              <w:spacing w:line="360" w:lineRule="auto"/>
              <w:rPr>
                <w:rFonts w:hint="eastAsia" w:ascii="仿宋" w:hAnsi="仿宋" w:eastAsia="仿宋" w:cs="宋体"/>
                <w:color w:val="auto"/>
                <w:sz w:val="24"/>
                <w:szCs w:val="24"/>
              </w:rPr>
            </w:pPr>
            <w:r>
              <w:rPr>
                <w:rFonts w:hint="eastAsia" w:ascii="仿宋" w:hAnsi="仿宋" w:eastAsia="仿宋" w:cs="宋体"/>
                <w:color w:val="auto"/>
                <w:sz w:val="24"/>
                <w:szCs w:val="24"/>
              </w:rPr>
              <w:t xml:space="preserve">账号: </w:t>
            </w:r>
          </w:p>
        </w:tc>
      </w:tr>
    </w:tbl>
    <w:p w14:paraId="68324359">
      <w:pPr>
        <w:adjustRightInd w:val="0"/>
        <w:snapToGrid w:val="0"/>
        <w:spacing w:line="360" w:lineRule="auto"/>
        <w:jc w:val="both"/>
        <w:rPr>
          <w:rFonts w:hint="eastAsia" w:ascii="仿宋" w:hAnsi="仿宋" w:eastAsia="仿宋"/>
          <w:color w:val="auto"/>
          <w:sz w:val="28"/>
          <w:szCs w:val="28"/>
        </w:rPr>
      </w:pPr>
    </w:p>
    <w:sectPr>
      <w:pgSz w:w="11906" w:h="16838"/>
      <w:pgMar w:top="1191" w:right="1077" w:bottom="1191" w:left="1077" w:header="851" w:footer="85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6E1F1E">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230C80">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rPr>
                            <w:t>10</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lang/>
                            </w:rPr>
                            <w:t>12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20L4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mUOG5x4Ocf388/f59/fSPL&#10;LE8foMasx4B5abjxQ06d/IDOzHpQ0eYv8iEYR3FPF3HlkIjIj1bL1arCkMDYfEEc9vQ8REh30luS&#10;jYZGnF4RlR/vIY2pc0qu5vytNgb9vDbuLwdiZg/LvY89ZisNu2FqfOfbE/LpcfANdbjnlJiPDnXN&#10;OzIbcTZ2s3EIUe+7skS5HoQPh4RNlN5yhRF2KowTK+ym7cor8fxesp7+qM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dtC+LIAQAAmQMAAA4AAAAAAAAAAQAgAAAAHgEAAGRycy9lMm9Eb2Mu&#10;eG1sUEsFBgAAAAAGAAYAWQEAAFgFAAAAAA==&#10;">
              <v:fill on="f" focussize="0,0"/>
              <v:stroke on="f"/>
              <v:imagedata o:title=""/>
              <o:lock v:ext="edit" aspectratio="f"/>
              <v:textbox inset="0mm,0mm,0mm,0mm" style="mso-fit-shape-to-text:t;">
                <w:txbxContent>
                  <w:p w14:paraId="64230C80">
                    <w:pPr>
                      <w:pStyle w:val="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lang/>
                      </w:rPr>
                      <w:t>10</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lang/>
                      </w:rPr>
                      <w:t>12</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43DEC">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5</w:t>
    </w:r>
    <w:r>
      <w:fldChar w:fldCharType="end"/>
    </w:r>
  </w:p>
  <w:p w14:paraId="18C24D1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5E468">
    <w:pPr>
      <w:pStyle w:val="6"/>
    </w:pPr>
    <w:r>
      <w:rPr>
        <w:rFonts w:hint="eastAsia"/>
      </w:rPr>
      <w:t>陕西国防工业职业技术学院采购项目合同书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074"/>
    <w:rsid w:val="000050AE"/>
    <w:rsid w:val="0002001D"/>
    <w:rsid w:val="0002167F"/>
    <w:rsid w:val="00021894"/>
    <w:rsid w:val="00025151"/>
    <w:rsid w:val="00027360"/>
    <w:rsid w:val="00040B89"/>
    <w:rsid w:val="00040D52"/>
    <w:rsid w:val="00044FCF"/>
    <w:rsid w:val="0004699D"/>
    <w:rsid w:val="00057D9C"/>
    <w:rsid w:val="000672E1"/>
    <w:rsid w:val="000739DA"/>
    <w:rsid w:val="00084790"/>
    <w:rsid w:val="00095397"/>
    <w:rsid w:val="00097C6C"/>
    <w:rsid w:val="000C3548"/>
    <w:rsid w:val="000C4800"/>
    <w:rsid w:val="000E7CAE"/>
    <w:rsid w:val="000F0B56"/>
    <w:rsid w:val="000F15F5"/>
    <w:rsid w:val="0010518D"/>
    <w:rsid w:val="0011025D"/>
    <w:rsid w:val="00125C0D"/>
    <w:rsid w:val="00132748"/>
    <w:rsid w:val="0015256B"/>
    <w:rsid w:val="00155AE2"/>
    <w:rsid w:val="00155F7E"/>
    <w:rsid w:val="00156781"/>
    <w:rsid w:val="00162B38"/>
    <w:rsid w:val="00187249"/>
    <w:rsid w:val="00197062"/>
    <w:rsid w:val="001A0AF8"/>
    <w:rsid w:val="001A229B"/>
    <w:rsid w:val="001A2796"/>
    <w:rsid w:val="001B560E"/>
    <w:rsid w:val="001B6CB8"/>
    <w:rsid w:val="001C49F8"/>
    <w:rsid w:val="001D0206"/>
    <w:rsid w:val="001E1620"/>
    <w:rsid w:val="001F5D0D"/>
    <w:rsid w:val="001F6669"/>
    <w:rsid w:val="00203834"/>
    <w:rsid w:val="002076F6"/>
    <w:rsid w:val="00215F9B"/>
    <w:rsid w:val="002202BA"/>
    <w:rsid w:val="00244C6D"/>
    <w:rsid w:val="00253237"/>
    <w:rsid w:val="002537C0"/>
    <w:rsid w:val="00253CE4"/>
    <w:rsid w:val="002570E7"/>
    <w:rsid w:val="00260E36"/>
    <w:rsid w:val="00267EFB"/>
    <w:rsid w:val="002704F1"/>
    <w:rsid w:val="00276782"/>
    <w:rsid w:val="002A7C76"/>
    <w:rsid w:val="002B16DB"/>
    <w:rsid w:val="002C5226"/>
    <w:rsid w:val="002F71FA"/>
    <w:rsid w:val="003039E8"/>
    <w:rsid w:val="00306337"/>
    <w:rsid w:val="00313C39"/>
    <w:rsid w:val="00314A48"/>
    <w:rsid w:val="003358DF"/>
    <w:rsid w:val="003469C3"/>
    <w:rsid w:val="00353D69"/>
    <w:rsid w:val="00354713"/>
    <w:rsid w:val="003B4394"/>
    <w:rsid w:val="003B65C7"/>
    <w:rsid w:val="003D7BFE"/>
    <w:rsid w:val="003F1DE8"/>
    <w:rsid w:val="003F3194"/>
    <w:rsid w:val="00403DD9"/>
    <w:rsid w:val="0041683E"/>
    <w:rsid w:val="00420758"/>
    <w:rsid w:val="00420783"/>
    <w:rsid w:val="0042151E"/>
    <w:rsid w:val="0043687F"/>
    <w:rsid w:val="00441D0A"/>
    <w:rsid w:val="00446C54"/>
    <w:rsid w:val="00451074"/>
    <w:rsid w:val="004532D0"/>
    <w:rsid w:val="00456131"/>
    <w:rsid w:val="00477C20"/>
    <w:rsid w:val="00481394"/>
    <w:rsid w:val="004A430C"/>
    <w:rsid w:val="004A5FE7"/>
    <w:rsid w:val="004C1377"/>
    <w:rsid w:val="005035CE"/>
    <w:rsid w:val="00507192"/>
    <w:rsid w:val="005171F4"/>
    <w:rsid w:val="0053389D"/>
    <w:rsid w:val="00545C0F"/>
    <w:rsid w:val="00553A0A"/>
    <w:rsid w:val="00565943"/>
    <w:rsid w:val="0057188A"/>
    <w:rsid w:val="00572B39"/>
    <w:rsid w:val="005757DA"/>
    <w:rsid w:val="005857C7"/>
    <w:rsid w:val="00585E63"/>
    <w:rsid w:val="005A583E"/>
    <w:rsid w:val="005A586C"/>
    <w:rsid w:val="005B06BF"/>
    <w:rsid w:val="005B2246"/>
    <w:rsid w:val="005B6684"/>
    <w:rsid w:val="005B6859"/>
    <w:rsid w:val="005E279B"/>
    <w:rsid w:val="005E470A"/>
    <w:rsid w:val="005E6A29"/>
    <w:rsid w:val="005F1B0C"/>
    <w:rsid w:val="005F2DC6"/>
    <w:rsid w:val="005F50A5"/>
    <w:rsid w:val="005F5E5A"/>
    <w:rsid w:val="0060499E"/>
    <w:rsid w:val="00607DCE"/>
    <w:rsid w:val="00613783"/>
    <w:rsid w:val="00621533"/>
    <w:rsid w:val="00625585"/>
    <w:rsid w:val="0063575C"/>
    <w:rsid w:val="00643E11"/>
    <w:rsid w:val="00665593"/>
    <w:rsid w:val="00674989"/>
    <w:rsid w:val="006808B2"/>
    <w:rsid w:val="00680970"/>
    <w:rsid w:val="0069696C"/>
    <w:rsid w:val="006A40AD"/>
    <w:rsid w:val="006B4080"/>
    <w:rsid w:val="006B6DE2"/>
    <w:rsid w:val="006C29FA"/>
    <w:rsid w:val="006D13C0"/>
    <w:rsid w:val="006D155A"/>
    <w:rsid w:val="006F22E7"/>
    <w:rsid w:val="006F3216"/>
    <w:rsid w:val="006F3CE5"/>
    <w:rsid w:val="0070109E"/>
    <w:rsid w:val="00706401"/>
    <w:rsid w:val="00716538"/>
    <w:rsid w:val="00720905"/>
    <w:rsid w:val="00726E05"/>
    <w:rsid w:val="007276E6"/>
    <w:rsid w:val="007342F5"/>
    <w:rsid w:val="0074122C"/>
    <w:rsid w:val="007460AA"/>
    <w:rsid w:val="00785ACC"/>
    <w:rsid w:val="00787407"/>
    <w:rsid w:val="00796EA2"/>
    <w:rsid w:val="007A08CC"/>
    <w:rsid w:val="007A19B2"/>
    <w:rsid w:val="007A3810"/>
    <w:rsid w:val="007A52E6"/>
    <w:rsid w:val="007B74CB"/>
    <w:rsid w:val="007D4F69"/>
    <w:rsid w:val="007D59BA"/>
    <w:rsid w:val="007E5198"/>
    <w:rsid w:val="007E5AAD"/>
    <w:rsid w:val="007E5BF0"/>
    <w:rsid w:val="007F3776"/>
    <w:rsid w:val="00802D35"/>
    <w:rsid w:val="0081272D"/>
    <w:rsid w:val="00827B72"/>
    <w:rsid w:val="00837836"/>
    <w:rsid w:val="0084168C"/>
    <w:rsid w:val="00843FF2"/>
    <w:rsid w:val="00855D1E"/>
    <w:rsid w:val="008643BE"/>
    <w:rsid w:val="00864D91"/>
    <w:rsid w:val="0087079E"/>
    <w:rsid w:val="00870BBA"/>
    <w:rsid w:val="0087292A"/>
    <w:rsid w:val="00877A43"/>
    <w:rsid w:val="0088148E"/>
    <w:rsid w:val="00885E56"/>
    <w:rsid w:val="008928D7"/>
    <w:rsid w:val="008A0D5D"/>
    <w:rsid w:val="008A210C"/>
    <w:rsid w:val="008B7E84"/>
    <w:rsid w:val="008C7EA1"/>
    <w:rsid w:val="008D7687"/>
    <w:rsid w:val="008E2A6A"/>
    <w:rsid w:val="008E58D2"/>
    <w:rsid w:val="008F1D3D"/>
    <w:rsid w:val="008F369C"/>
    <w:rsid w:val="00917480"/>
    <w:rsid w:val="00942A8D"/>
    <w:rsid w:val="0095282A"/>
    <w:rsid w:val="009622FB"/>
    <w:rsid w:val="00967630"/>
    <w:rsid w:val="00982404"/>
    <w:rsid w:val="009A2A44"/>
    <w:rsid w:val="009A388C"/>
    <w:rsid w:val="009C38C5"/>
    <w:rsid w:val="009C7B61"/>
    <w:rsid w:val="009C7CD5"/>
    <w:rsid w:val="009E4A6E"/>
    <w:rsid w:val="009E54FF"/>
    <w:rsid w:val="009F2050"/>
    <w:rsid w:val="009F486E"/>
    <w:rsid w:val="00A04321"/>
    <w:rsid w:val="00A07315"/>
    <w:rsid w:val="00A1787A"/>
    <w:rsid w:val="00A2066D"/>
    <w:rsid w:val="00A23178"/>
    <w:rsid w:val="00A32982"/>
    <w:rsid w:val="00A32C36"/>
    <w:rsid w:val="00A51DD6"/>
    <w:rsid w:val="00A55612"/>
    <w:rsid w:val="00A57747"/>
    <w:rsid w:val="00A63882"/>
    <w:rsid w:val="00A81B4B"/>
    <w:rsid w:val="00A84EB5"/>
    <w:rsid w:val="00A92CFC"/>
    <w:rsid w:val="00AB4A62"/>
    <w:rsid w:val="00AB7F68"/>
    <w:rsid w:val="00AC2508"/>
    <w:rsid w:val="00AC2D3D"/>
    <w:rsid w:val="00AC4FC0"/>
    <w:rsid w:val="00AF075C"/>
    <w:rsid w:val="00AF4E36"/>
    <w:rsid w:val="00B00760"/>
    <w:rsid w:val="00B0299A"/>
    <w:rsid w:val="00B26DEA"/>
    <w:rsid w:val="00B36D29"/>
    <w:rsid w:val="00B377C3"/>
    <w:rsid w:val="00B419B5"/>
    <w:rsid w:val="00B42390"/>
    <w:rsid w:val="00B42A81"/>
    <w:rsid w:val="00B43113"/>
    <w:rsid w:val="00B57F85"/>
    <w:rsid w:val="00B60995"/>
    <w:rsid w:val="00B64008"/>
    <w:rsid w:val="00B758EE"/>
    <w:rsid w:val="00B907A7"/>
    <w:rsid w:val="00B937C3"/>
    <w:rsid w:val="00BA2CDA"/>
    <w:rsid w:val="00BA692A"/>
    <w:rsid w:val="00BA746F"/>
    <w:rsid w:val="00BC561B"/>
    <w:rsid w:val="00BD1028"/>
    <w:rsid w:val="00BE5188"/>
    <w:rsid w:val="00BE530D"/>
    <w:rsid w:val="00BE7EB2"/>
    <w:rsid w:val="00BF25AD"/>
    <w:rsid w:val="00BF660F"/>
    <w:rsid w:val="00C00A53"/>
    <w:rsid w:val="00C12038"/>
    <w:rsid w:val="00C329B2"/>
    <w:rsid w:val="00C44DC2"/>
    <w:rsid w:val="00C53157"/>
    <w:rsid w:val="00C56B03"/>
    <w:rsid w:val="00C56CA0"/>
    <w:rsid w:val="00C56EED"/>
    <w:rsid w:val="00C708B7"/>
    <w:rsid w:val="00C75671"/>
    <w:rsid w:val="00C76968"/>
    <w:rsid w:val="00C83364"/>
    <w:rsid w:val="00C93A2E"/>
    <w:rsid w:val="00CA2FBE"/>
    <w:rsid w:val="00CA79E2"/>
    <w:rsid w:val="00CB2352"/>
    <w:rsid w:val="00CC6602"/>
    <w:rsid w:val="00CD644E"/>
    <w:rsid w:val="00CE0299"/>
    <w:rsid w:val="00CF4931"/>
    <w:rsid w:val="00CF4A60"/>
    <w:rsid w:val="00D0275F"/>
    <w:rsid w:val="00D02E36"/>
    <w:rsid w:val="00D133AE"/>
    <w:rsid w:val="00D15CF7"/>
    <w:rsid w:val="00D30EBD"/>
    <w:rsid w:val="00D37C36"/>
    <w:rsid w:val="00D42B15"/>
    <w:rsid w:val="00D46596"/>
    <w:rsid w:val="00D46833"/>
    <w:rsid w:val="00D630EB"/>
    <w:rsid w:val="00D7131F"/>
    <w:rsid w:val="00D774F6"/>
    <w:rsid w:val="00D925C5"/>
    <w:rsid w:val="00D96D31"/>
    <w:rsid w:val="00DC6ECE"/>
    <w:rsid w:val="00DF176F"/>
    <w:rsid w:val="00E06105"/>
    <w:rsid w:val="00E07AA2"/>
    <w:rsid w:val="00E2124E"/>
    <w:rsid w:val="00E300EA"/>
    <w:rsid w:val="00E353BE"/>
    <w:rsid w:val="00E40085"/>
    <w:rsid w:val="00E43145"/>
    <w:rsid w:val="00E47302"/>
    <w:rsid w:val="00E771F4"/>
    <w:rsid w:val="00EB6928"/>
    <w:rsid w:val="00EC3E0E"/>
    <w:rsid w:val="00EE337F"/>
    <w:rsid w:val="00EF3F7E"/>
    <w:rsid w:val="00EF753F"/>
    <w:rsid w:val="00F00992"/>
    <w:rsid w:val="00F011C8"/>
    <w:rsid w:val="00F05A7C"/>
    <w:rsid w:val="00F15706"/>
    <w:rsid w:val="00F239DB"/>
    <w:rsid w:val="00F24A7B"/>
    <w:rsid w:val="00F36BF7"/>
    <w:rsid w:val="00F5516E"/>
    <w:rsid w:val="00F60DB9"/>
    <w:rsid w:val="00F61F61"/>
    <w:rsid w:val="00F70043"/>
    <w:rsid w:val="00F94C02"/>
    <w:rsid w:val="00FB040A"/>
    <w:rsid w:val="04217FDB"/>
    <w:rsid w:val="051A2A44"/>
    <w:rsid w:val="05335E9F"/>
    <w:rsid w:val="070B1783"/>
    <w:rsid w:val="07CA4559"/>
    <w:rsid w:val="08052AE2"/>
    <w:rsid w:val="08F25D6A"/>
    <w:rsid w:val="0F71268D"/>
    <w:rsid w:val="15514B01"/>
    <w:rsid w:val="17E67F62"/>
    <w:rsid w:val="18FA0FF2"/>
    <w:rsid w:val="1AA62ABF"/>
    <w:rsid w:val="1CC81F41"/>
    <w:rsid w:val="1E7F4B8E"/>
    <w:rsid w:val="21F924DA"/>
    <w:rsid w:val="220F6C43"/>
    <w:rsid w:val="25DC5F43"/>
    <w:rsid w:val="274C7086"/>
    <w:rsid w:val="288638BF"/>
    <w:rsid w:val="289D7B74"/>
    <w:rsid w:val="28CB1A85"/>
    <w:rsid w:val="2BC86249"/>
    <w:rsid w:val="2E72775A"/>
    <w:rsid w:val="312C03C0"/>
    <w:rsid w:val="31C916E9"/>
    <w:rsid w:val="32003637"/>
    <w:rsid w:val="32766B91"/>
    <w:rsid w:val="38353194"/>
    <w:rsid w:val="3AC47D45"/>
    <w:rsid w:val="3BFB7FE4"/>
    <w:rsid w:val="3E1E49D9"/>
    <w:rsid w:val="3E5D3FAA"/>
    <w:rsid w:val="3F7722E4"/>
    <w:rsid w:val="40662995"/>
    <w:rsid w:val="41143ABD"/>
    <w:rsid w:val="43A538C3"/>
    <w:rsid w:val="45671FA7"/>
    <w:rsid w:val="464F0D26"/>
    <w:rsid w:val="46C6069E"/>
    <w:rsid w:val="47771522"/>
    <w:rsid w:val="48A00671"/>
    <w:rsid w:val="5955318D"/>
    <w:rsid w:val="5AA61FA3"/>
    <w:rsid w:val="5C841E70"/>
    <w:rsid w:val="5D30494F"/>
    <w:rsid w:val="613362D3"/>
    <w:rsid w:val="65802620"/>
    <w:rsid w:val="665A0300"/>
    <w:rsid w:val="688719FE"/>
    <w:rsid w:val="694D6A2C"/>
    <w:rsid w:val="6B5B2936"/>
    <w:rsid w:val="6BA24D2E"/>
    <w:rsid w:val="6BFA36A8"/>
    <w:rsid w:val="6C855170"/>
    <w:rsid w:val="6CB57EEE"/>
    <w:rsid w:val="6D263813"/>
    <w:rsid w:val="6F031E70"/>
    <w:rsid w:val="6FCF08A3"/>
    <w:rsid w:val="73C64426"/>
    <w:rsid w:val="748E7803"/>
    <w:rsid w:val="77F90BF0"/>
    <w:rsid w:val="78030F39"/>
    <w:rsid w:val="782C4C66"/>
    <w:rsid w:val="7A1F73F5"/>
    <w:rsid w:val="7AB20098"/>
    <w:rsid w:val="7B3E4961"/>
    <w:rsid w:val="7B444E81"/>
    <w:rsid w:val="7F9A56E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Style w:val="8"/>
      <w:tblCellMar>
        <w:top w:w="0" w:type="dxa"/>
        <w:left w:w="108" w:type="dxa"/>
        <w:bottom w:w="0" w:type="dxa"/>
        <w:right w:w="108" w:type="dxa"/>
      </w:tblCellMar>
    </w:tblPr>
  </w:style>
  <w:style w:type="paragraph" w:styleId="2">
    <w:name w:val="annotation text"/>
    <w:basedOn w:val="1"/>
    <w:link w:val="12"/>
    <w:unhideWhenUsed/>
    <w:qFormat/>
    <w:uiPriority w:val="0"/>
  </w:style>
  <w:style w:type="paragraph" w:styleId="3">
    <w:name w:val="Body Text Indent"/>
    <w:basedOn w:val="1"/>
    <w:unhideWhenUsed/>
    <w:uiPriority w:val="0"/>
    <w:pPr>
      <w:spacing w:line="480" w:lineRule="exact"/>
      <w:ind w:left="178" w:leftChars="85"/>
    </w:pPr>
    <w:rPr>
      <w:rFonts w:ascii="宋体" w:hAnsi="宋体"/>
      <w:sz w:val="28"/>
      <w:szCs w:val="24"/>
    </w:rPr>
  </w:style>
  <w:style w:type="paragraph" w:styleId="4">
    <w:name w:val="Balloon Text"/>
    <w:basedOn w:val="1"/>
    <w:link w:val="13"/>
    <w:unhideWhenUsed/>
    <w:uiPriority w:val="99"/>
    <w:rPr>
      <w:sz w:val="18"/>
      <w:szCs w:val="18"/>
    </w:rPr>
  </w:style>
  <w:style w:type="paragraph" w:styleId="5">
    <w:name w:val="footer"/>
    <w:basedOn w:val="1"/>
    <w:link w:val="14"/>
    <w:unhideWhenUsed/>
    <w:uiPriority w:val="0"/>
    <w:pPr>
      <w:tabs>
        <w:tab w:val="center" w:pos="4153"/>
        <w:tab w:val="right" w:pos="8306"/>
      </w:tabs>
      <w:snapToGrid w:val="0"/>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6"/>
    <w:unhideWhenUsed/>
    <w:uiPriority w:val="99"/>
    <w:rPr>
      <w:b/>
      <w:bCs/>
    </w:rPr>
  </w:style>
  <w:style w:type="character" w:styleId="10">
    <w:name w:val="page number"/>
    <w:basedOn w:val="9"/>
    <w:qFormat/>
    <w:uiPriority w:val="0"/>
  </w:style>
  <w:style w:type="character" w:styleId="11">
    <w:name w:val="annotation reference"/>
    <w:unhideWhenUsed/>
    <w:uiPriority w:val="0"/>
    <w:rPr>
      <w:sz w:val="21"/>
      <w:szCs w:val="21"/>
    </w:rPr>
  </w:style>
  <w:style w:type="character" w:customStyle="1" w:styleId="12">
    <w:name w:val="批注文字 Char"/>
    <w:link w:val="2"/>
    <w:qFormat/>
    <w:uiPriority w:val="0"/>
    <w:rPr>
      <w:rFonts w:ascii="Times New Roman" w:hAnsi="Times New Roman" w:eastAsia="宋体" w:cs="Times New Roman"/>
      <w:sz w:val="21"/>
    </w:rPr>
  </w:style>
  <w:style w:type="character" w:customStyle="1" w:styleId="13">
    <w:name w:val="批注框文本 Char"/>
    <w:link w:val="4"/>
    <w:semiHidden/>
    <w:uiPriority w:val="99"/>
    <w:rPr>
      <w:rFonts w:ascii="Times New Roman" w:hAnsi="Times New Roman" w:eastAsia="宋体" w:cs="Times New Roman"/>
      <w:sz w:val="18"/>
      <w:szCs w:val="18"/>
    </w:rPr>
  </w:style>
  <w:style w:type="character" w:customStyle="1" w:styleId="14">
    <w:name w:val="页脚 Char"/>
    <w:link w:val="5"/>
    <w:semiHidden/>
    <w:uiPriority w:val="99"/>
    <w:rPr>
      <w:sz w:val="18"/>
      <w:szCs w:val="18"/>
    </w:rPr>
  </w:style>
  <w:style w:type="character" w:customStyle="1" w:styleId="15">
    <w:name w:val="页眉 Char"/>
    <w:link w:val="6"/>
    <w:uiPriority w:val="99"/>
    <w:rPr>
      <w:sz w:val="18"/>
      <w:szCs w:val="18"/>
    </w:rPr>
  </w:style>
  <w:style w:type="character" w:customStyle="1" w:styleId="16">
    <w:name w:val="批注主题 Char"/>
    <w:link w:val="7"/>
    <w:semiHidden/>
    <w:uiPriority w:val="99"/>
    <w:rPr>
      <w:rFonts w:ascii="Times New Roman" w:hAnsi="Times New Roman" w:eastAsia="宋体" w:cs="Times New Roman"/>
      <w:b/>
      <w:bCs/>
      <w:sz w:val="21"/>
    </w:rPr>
  </w:style>
  <w:style w:type="character" w:customStyle="1" w:styleId="17">
    <w:name w:val="批注文字 字符"/>
    <w:qFormat/>
    <w:uiPriority w:val="0"/>
    <w:rPr>
      <w:rFonts w:ascii="Times New Roman" w:hAnsi="Times New Roman" w:eastAsia="宋体" w:cs="Times New Roman"/>
      <w:sz w:val="21"/>
    </w:rPr>
  </w:style>
  <w:style w:type="paragraph" w:customStyle="1" w:styleId="18">
    <w:name w:val="Char Char2"/>
    <w:basedOn w:val="1"/>
    <w:qFormat/>
    <w:uiPriority w:val="0"/>
    <w:pPr>
      <w:widowControl w:val="0"/>
      <w:jc w:val="both"/>
    </w:pPr>
    <w:rPr>
      <w:rFonts w:ascii="宋体" w:hAnsi="宋体"/>
      <w:b/>
      <w:kern w:val="2"/>
      <w:sz w:val="28"/>
      <w:szCs w:val="28"/>
    </w:rPr>
  </w:style>
  <w:style w:type="paragraph" w:styleId="1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9</Pages>
  <Words>4067</Words>
  <Characters>4080</Characters>
  <Lines>48</Lines>
  <Paragraphs>13</Paragraphs>
  <TotalTime>3</TotalTime>
  <ScaleCrop>false</ScaleCrop>
  <LinksUpToDate>false</LinksUpToDate>
  <CharactersWithSpaces>4194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2025-08-04T05:11:00Z</dcterms:created>
  <dc:creator>a</dc:creator>
  <cp:lastModifiedBy>中技招标</cp:lastModifiedBy>
  <cp:lastPrinted>2019-12-10T03:45:00Z</cp:lastPrinted>
  <dcterms:modified xsi:type="dcterms:W3CDTF">2026-07-22T02:36:19Z</dcterms:modified>
  <dc:title>陕西国防工业职业技术学院合同书</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eyJoZGlkIjoiNzIxNWM4ZTcxZjU5YjJhMzlkYmE1ZmEzN2RjZTZjYjYiLCJ1c2VySWQiOiIxODU2MTgzMzg1In0=</vt:lpwstr>
  </property>
  <property fmtid="{D5CDD505-2E9C-101B-9397-08002B2CF9AE}" pid="4" name="ICV">
    <vt:lpwstr>A182D752AAE54798BC3236F126A45781_13</vt:lpwstr>
  </property>
</Properties>
</file>