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948A6C">
      <w:pPr>
        <w:spacing w:line="276" w:lineRule="auto"/>
        <w:rPr>
          <w:rFonts w:cs="宋体" w:asciiTheme="minorEastAsia" w:hAnsiTheme="minorEastAsia"/>
          <w:b/>
          <w:bCs/>
          <w:szCs w:val="21"/>
        </w:rPr>
      </w:pPr>
      <w:r>
        <w:rPr>
          <w:rFonts w:hint="eastAsia" w:cs="宋体" w:asciiTheme="minorEastAsia" w:hAnsiTheme="minorEastAsia"/>
          <w:b/>
          <w:bCs/>
          <w:szCs w:val="21"/>
        </w:rPr>
        <w:t>一、服务概况</w:t>
      </w:r>
    </w:p>
    <w:p w14:paraId="4B15A94A">
      <w:pPr>
        <w:spacing w:line="276" w:lineRule="auto"/>
        <w:rPr>
          <w:rFonts w:cs="宋体" w:asciiTheme="minorEastAsia" w:hAnsiTheme="minorEastAsia"/>
          <w:szCs w:val="21"/>
        </w:rPr>
      </w:pPr>
      <w:r>
        <w:rPr>
          <w:rFonts w:hint="eastAsia" w:cs="宋体" w:asciiTheme="minorEastAsia" w:hAnsiTheme="minorEastAsia"/>
          <w:szCs w:val="21"/>
        </w:rPr>
        <w:t>1、根据最高人民法院出台的《关于全面推进人民法院电子卷宗随案同步生成和深度应用的指导意见》精神，着力推进电子卷宗随案同步生成，全面开发和支持电子卷宗在案件办理、诉讼服务和司法管理中的深度应用，是打造智慧法院的重要支撑。总体质量按照《陕西省高级人民法院关于全省法院历史卷宗数字化技术要求的通知》及最高法院有关规定等要求，对西安市碑林区人民法院随案生成的即时案件进行数字化扫描服务，并保证档案扫描图像与原件一致、整洁、清晰。</w:t>
      </w:r>
    </w:p>
    <w:p w14:paraId="7EFB8251">
      <w:pPr>
        <w:spacing w:line="276" w:lineRule="auto"/>
        <w:rPr>
          <w:rFonts w:cs="宋体" w:asciiTheme="minorEastAsia" w:hAnsiTheme="minorEastAsia"/>
          <w:szCs w:val="21"/>
        </w:rPr>
      </w:pPr>
      <w:r>
        <w:rPr>
          <w:rFonts w:hint="eastAsia" w:cs="宋体" w:asciiTheme="minorEastAsia" w:hAnsiTheme="minorEastAsia"/>
          <w:szCs w:val="21"/>
        </w:rPr>
        <w:t>2、数据存储格式。全部采用彩色单页jpg的存储格式，纸质档案扫描分辨率要300dpi以上，所有照片档案为彩色 600dpi。对于案卷中出现字迹较小、模糊、较密集等情况，应适当提高分辨率，形成成品为24bit真彩的JPEG压缩格式的电子图片文件。扫描图像存储以案号命名根文件夹，正副卷结合的形式进行存储备份</w:t>
      </w:r>
    </w:p>
    <w:p w14:paraId="64FECD4C">
      <w:pPr>
        <w:spacing w:line="276" w:lineRule="auto"/>
        <w:rPr>
          <w:rFonts w:cs="宋体" w:asciiTheme="minorEastAsia" w:hAnsiTheme="minorEastAsia"/>
          <w:szCs w:val="21"/>
        </w:rPr>
      </w:pPr>
      <w:r>
        <w:rPr>
          <w:rFonts w:hint="eastAsia" w:cs="宋体" w:asciiTheme="minorEastAsia" w:hAnsiTheme="minorEastAsia"/>
          <w:szCs w:val="21"/>
        </w:rPr>
        <w:t>3、扫描图像质量的要求。图像质量情况完好率99%。图像清晰、完整，反映档案全貌；页面底色、字迹、印章颜色与档案本身颜色相仿，色泽均匀；图像效果必须符合正常的阅读习惯。</w:t>
      </w:r>
    </w:p>
    <w:p w14:paraId="1AEE043A">
      <w:pPr>
        <w:spacing w:line="276" w:lineRule="auto"/>
        <w:rPr>
          <w:rFonts w:cs="宋体" w:asciiTheme="minorEastAsia" w:hAnsiTheme="minorEastAsia"/>
          <w:szCs w:val="21"/>
        </w:rPr>
      </w:pPr>
      <w:r>
        <w:rPr>
          <w:rFonts w:hint="eastAsia" w:cs="宋体" w:asciiTheme="minorEastAsia" w:hAnsiTheme="minorEastAsia"/>
          <w:szCs w:val="21"/>
        </w:rPr>
        <w:t>4、图像目录对应的信息正确率100%。图像齐全，包括卷面、目录、正文、备考表等信息。</w:t>
      </w:r>
    </w:p>
    <w:p w14:paraId="6715C82C">
      <w:pPr>
        <w:spacing w:line="276" w:lineRule="auto"/>
        <w:rPr>
          <w:rFonts w:cs="宋体" w:asciiTheme="minorEastAsia" w:hAnsiTheme="minorEastAsia"/>
          <w:szCs w:val="21"/>
        </w:rPr>
      </w:pPr>
      <w:r>
        <w:rPr>
          <w:rFonts w:hint="eastAsia" w:cs="宋体" w:asciiTheme="minorEastAsia" w:hAnsiTheme="minorEastAsia"/>
          <w:szCs w:val="21"/>
        </w:rPr>
        <w:t>5、数据上传质量检查。采用人工校对或自动校对的方式，对系统目录数据库的建库质量进行检查，核对上传项目是否完整，内容是否规范、准确，是否有漏传、错传等问题，对错传、漏传的数据进行修正、补录。</w:t>
      </w:r>
    </w:p>
    <w:p w14:paraId="5B3639E4">
      <w:pPr>
        <w:spacing w:line="276" w:lineRule="auto"/>
        <w:rPr>
          <w:rFonts w:cs="宋体" w:asciiTheme="minorEastAsia" w:hAnsiTheme="minorEastAsia"/>
          <w:szCs w:val="21"/>
        </w:rPr>
      </w:pPr>
      <w:r>
        <w:rPr>
          <w:rFonts w:hint="eastAsia" w:cs="宋体" w:asciiTheme="minorEastAsia" w:hAnsiTheme="minorEastAsia"/>
          <w:szCs w:val="21"/>
        </w:rPr>
        <w:t>6、投标供应商应结合碑林区法院的档案管理制度制定一套符合完成本项目工作实际的档案整理、电子化等的管理规定及操作流程，以确保档案装订规范、电子化质量达到品质要求、档案卷宗系统验卷、归档，确保档案材料的安全和项目任务的完成。</w:t>
      </w:r>
    </w:p>
    <w:p w14:paraId="0D743A2A">
      <w:pPr>
        <w:spacing w:line="276" w:lineRule="auto"/>
        <w:rPr>
          <w:rFonts w:cs="宋体" w:asciiTheme="minorEastAsia" w:hAnsiTheme="minorEastAsia"/>
          <w:szCs w:val="21"/>
        </w:rPr>
      </w:pPr>
      <w:r>
        <w:rPr>
          <w:rFonts w:hint="eastAsia" w:cs="宋体" w:asciiTheme="minorEastAsia" w:hAnsiTheme="minorEastAsia"/>
          <w:szCs w:val="21"/>
        </w:rPr>
        <w:t>7、投标供应商需派驻稳定团队，到碑林区法院指定工作场所扫描案卷，服务期间须保持人员数量的稳定。</w:t>
      </w:r>
    </w:p>
    <w:p w14:paraId="1ED46D6C">
      <w:pPr>
        <w:spacing w:line="276" w:lineRule="auto"/>
        <w:rPr>
          <w:rFonts w:cs="宋体" w:asciiTheme="minorEastAsia" w:hAnsiTheme="minorEastAsia"/>
          <w:szCs w:val="21"/>
        </w:rPr>
      </w:pPr>
      <w:r>
        <w:rPr>
          <w:rFonts w:hint="eastAsia" w:cs="宋体" w:asciiTheme="minorEastAsia" w:hAnsiTheme="minorEastAsia"/>
          <w:szCs w:val="21"/>
        </w:rPr>
        <w:t>8、档案随案生成环节细分包括：档案接收、档案扫描、图像上传至交大慧谷办案系统、校对归目、归档验卷、档案装订、档案移交等。</w:t>
      </w:r>
    </w:p>
    <w:p w14:paraId="77892EE1">
      <w:pPr>
        <w:spacing w:line="276" w:lineRule="auto"/>
        <w:rPr>
          <w:rFonts w:cs="宋体" w:asciiTheme="minorEastAsia" w:hAnsiTheme="minorEastAsia"/>
          <w:szCs w:val="21"/>
        </w:rPr>
      </w:pPr>
      <w:r>
        <w:rPr>
          <w:rFonts w:hint="eastAsia" w:cs="宋体" w:asciiTheme="minorEastAsia" w:hAnsiTheme="minorEastAsia"/>
          <w:szCs w:val="21"/>
        </w:rPr>
        <w:t>9、投标供应商应保证扫描的案卷在装卸、运输和仓储过程中有足够的包装保护，防止纸质案卷受潮、破损、着火及其他不可预见的损坏。</w:t>
      </w:r>
    </w:p>
    <w:p w14:paraId="268A33BA">
      <w:pPr>
        <w:spacing w:line="276" w:lineRule="auto"/>
        <w:rPr>
          <w:rFonts w:cs="宋体" w:asciiTheme="minorEastAsia" w:hAnsiTheme="minorEastAsia"/>
          <w:szCs w:val="21"/>
        </w:rPr>
      </w:pPr>
      <w:r>
        <w:rPr>
          <w:rFonts w:hint="eastAsia" w:cs="宋体" w:asciiTheme="minorEastAsia" w:hAnsiTheme="minorEastAsia"/>
          <w:szCs w:val="21"/>
        </w:rPr>
        <w:t>10、纸质案卷到达采购人指定的整理地点后，投标供应商应按有关技术规程和采购人要求进行存放、保管和整理。</w:t>
      </w:r>
    </w:p>
    <w:p w14:paraId="6D820FCE">
      <w:pPr>
        <w:spacing w:line="276" w:lineRule="auto"/>
        <w:rPr>
          <w:rFonts w:cs="宋体" w:asciiTheme="minorEastAsia" w:hAnsiTheme="minorEastAsia"/>
          <w:szCs w:val="21"/>
        </w:rPr>
      </w:pPr>
      <w:r>
        <w:rPr>
          <w:rFonts w:hint="eastAsia" w:cs="宋体" w:asciiTheme="minorEastAsia" w:hAnsiTheme="minorEastAsia"/>
          <w:szCs w:val="21"/>
        </w:rPr>
        <w:t>11、库存案件的接收，遵守档案管理及库房管理制度，严格遵守保密制度，确保档案和档案信息的安全。</w:t>
      </w:r>
    </w:p>
    <w:p w14:paraId="4F9410F9">
      <w:pPr>
        <w:numPr>
          <w:ilvl w:val="0"/>
          <w:numId w:val="1"/>
        </w:numPr>
        <w:spacing w:line="276" w:lineRule="auto"/>
        <w:rPr>
          <w:rFonts w:cs="宋体" w:asciiTheme="minorEastAsia" w:hAnsiTheme="minorEastAsia"/>
          <w:b/>
          <w:bCs/>
          <w:szCs w:val="21"/>
        </w:rPr>
      </w:pPr>
      <w:r>
        <w:rPr>
          <w:rFonts w:hint="eastAsia" w:cs="宋体" w:asciiTheme="minorEastAsia" w:hAnsiTheme="minorEastAsia"/>
          <w:b/>
          <w:bCs/>
          <w:szCs w:val="21"/>
        </w:rPr>
        <w:t>项目单项费用最高限价明细</w:t>
      </w:r>
    </w:p>
    <w:tbl>
      <w:tblPr>
        <w:tblStyle w:val="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
        <w:gridCol w:w="5242"/>
        <w:gridCol w:w="2126"/>
      </w:tblGrid>
      <w:tr w14:paraId="65C03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9" w:type="dxa"/>
            <w:vAlign w:val="center"/>
          </w:tcPr>
          <w:p w14:paraId="31845663">
            <w:pPr>
              <w:spacing w:line="276" w:lineRule="auto"/>
              <w:jc w:val="center"/>
              <w:rPr>
                <w:rFonts w:cs="宋体" w:asciiTheme="minorEastAsia" w:hAnsiTheme="minorEastAsia"/>
                <w:szCs w:val="21"/>
              </w:rPr>
            </w:pPr>
            <w:r>
              <w:rPr>
                <w:rFonts w:hint="eastAsia" w:cs="宋体" w:asciiTheme="minorEastAsia" w:hAnsiTheme="minorEastAsia"/>
                <w:szCs w:val="21"/>
              </w:rPr>
              <w:t>序号</w:t>
            </w:r>
          </w:p>
        </w:tc>
        <w:tc>
          <w:tcPr>
            <w:tcW w:w="5242" w:type="dxa"/>
            <w:vAlign w:val="center"/>
          </w:tcPr>
          <w:p w14:paraId="04E72250">
            <w:pPr>
              <w:spacing w:line="276" w:lineRule="auto"/>
              <w:jc w:val="center"/>
              <w:rPr>
                <w:rFonts w:cs="宋体" w:asciiTheme="minorEastAsia" w:hAnsiTheme="minorEastAsia"/>
                <w:szCs w:val="21"/>
              </w:rPr>
            </w:pPr>
            <w:r>
              <w:rPr>
                <w:rFonts w:hint="eastAsia" w:cs="宋体" w:asciiTheme="minorEastAsia" w:hAnsiTheme="minorEastAsia"/>
                <w:szCs w:val="21"/>
              </w:rPr>
              <w:t>名称</w:t>
            </w:r>
          </w:p>
        </w:tc>
        <w:tc>
          <w:tcPr>
            <w:tcW w:w="2126" w:type="dxa"/>
            <w:vAlign w:val="center"/>
          </w:tcPr>
          <w:p w14:paraId="20D78B42">
            <w:pPr>
              <w:spacing w:line="276" w:lineRule="auto"/>
              <w:jc w:val="center"/>
              <w:rPr>
                <w:rFonts w:cs="宋体" w:asciiTheme="minorEastAsia" w:hAnsiTheme="minorEastAsia"/>
                <w:szCs w:val="21"/>
              </w:rPr>
            </w:pPr>
            <w:r>
              <w:rPr>
                <w:rFonts w:hint="eastAsia" w:cs="宋体" w:asciiTheme="minorEastAsia" w:hAnsiTheme="minorEastAsia"/>
                <w:szCs w:val="21"/>
              </w:rPr>
              <w:t>最高限价</w:t>
            </w:r>
          </w:p>
        </w:tc>
      </w:tr>
      <w:tr w14:paraId="4251D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9" w:type="dxa"/>
            <w:shd w:val="clear" w:color="auto" w:fill="auto"/>
            <w:vAlign w:val="center"/>
          </w:tcPr>
          <w:p w14:paraId="112E7B29">
            <w:pPr>
              <w:spacing w:line="276" w:lineRule="auto"/>
              <w:jc w:val="center"/>
              <w:rPr>
                <w:rFonts w:cs="宋体" w:asciiTheme="minorEastAsia" w:hAnsiTheme="minorEastAsia"/>
                <w:color w:val="auto"/>
                <w:szCs w:val="21"/>
              </w:rPr>
            </w:pPr>
            <w:r>
              <w:rPr>
                <w:rFonts w:hint="eastAsia" w:cs="宋体" w:asciiTheme="minorEastAsia" w:hAnsiTheme="minorEastAsia"/>
                <w:color w:val="auto"/>
                <w:szCs w:val="21"/>
              </w:rPr>
              <w:t>1</w:t>
            </w:r>
          </w:p>
        </w:tc>
        <w:tc>
          <w:tcPr>
            <w:tcW w:w="5242" w:type="dxa"/>
            <w:shd w:val="clear" w:color="auto" w:fill="auto"/>
            <w:vAlign w:val="center"/>
          </w:tcPr>
          <w:p w14:paraId="070EE325">
            <w:pPr>
              <w:spacing w:line="276" w:lineRule="auto"/>
              <w:rPr>
                <w:rFonts w:cs="宋体" w:asciiTheme="minorEastAsia" w:hAnsiTheme="minorEastAsia"/>
                <w:color w:val="auto"/>
                <w:szCs w:val="21"/>
              </w:rPr>
            </w:pPr>
            <w:r>
              <w:rPr>
                <w:rFonts w:hint="eastAsia" w:cs="宋体" w:asciiTheme="minorEastAsia" w:hAnsiTheme="minorEastAsia"/>
                <w:color w:val="auto"/>
                <w:szCs w:val="21"/>
              </w:rPr>
              <w:t>电子卷宗随案同步生产</w:t>
            </w:r>
          </w:p>
        </w:tc>
        <w:tc>
          <w:tcPr>
            <w:tcW w:w="2126" w:type="dxa"/>
            <w:shd w:val="clear" w:color="auto" w:fill="auto"/>
            <w:vAlign w:val="center"/>
          </w:tcPr>
          <w:p w14:paraId="1099F16B">
            <w:pPr>
              <w:spacing w:line="276" w:lineRule="auto"/>
              <w:jc w:val="center"/>
              <w:rPr>
                <w:rFonts w:cs="宋体" w:asciiTheme="minorEastAsia" w:hAnsiTheme="minorEastAsia"/>
                <w:color w:val="auto"/>
                <w:szCs w:val="21"/>
              </w:rPr>
            </w:pPr>
            <w:r>
              <w:rPr>
                <w:rFonts w:hint="eastAsia" w:cs="宋体" w:asciiTheme="minorEastAsia" w:hAnsiTheme="minorEastAsia"/>
                <w:color w:val="auto"/>
                <w:szCs w:val="21"/>
              </w:rPr>
              <w:t>65.00元/案</w:t>
            </w:r>
          </w:p>
        </w:tc>
      </w:tr>
      <w:tr w14:paraId="1AE70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9" w:type="dxa"/>
            <w:shd w:val="clear" w:color="auto" w:fill="auto"/>
            <w:vAlign w:val="center"/>
          </w:tcPr>
          <w:p w14:paraId="2189817B">
            <w:pPr>
              <w:spacing w:line="276" w:lineRule="auto"/>
              <w:jc w:val="center"/>
              <w:rPr>
                <w:rFonts w:cs="宋体" w:asciiTheme="minorEastAsia" w:hAnsiTheme="minorEastAsia"/>
                <w:color w:val="auto"/>
                <w:szCs w:val="21"/>
              </w:rPr>
            </w:pPr>
            <w:r>
              <w:rPr>
                <w:rFonts w:hint="eastAsia" w:cs="宋体" w:asciiTheme="minorEastAsia" w:hAnsiTheme="minorEastAsia"/>
                <w:color w:val="auto"/>
                <w:szCs w:val="21"/>
              </w:rPr>
              <w:t>2</w:t>
            </w:r>
          </w:p>
        </w:tc>
        <w:tc>
          <w:tcPr>
            <w:tcW w:w="5242" w:type="dxa"/>
            <w:shd w:val="clear" w:color="auto" w:fill="auto"/>
            <w:vAlign w:val="center"/>
          </w:tcPr>
          <w:p w14:paraId="0A556E36">
            <w:pPr>
              <w:spacing w:line="276" w:lineRule="auto"/>
              <w:rPr>
                <w:rFonts w:cs="宋体" w:asciiTheme="minorEastAsia" w:hAnsiTheme="minorEastAsia"/>
                <w:color w:val="auto"/>
                <w:szCs w:val="21"/>
              </w:rPr>
            </w:pPr>
            <w:r>
              <w:rPr>
                <w:rFonts w:hint="eastAsia" w:cs="宋体" w:asciiTheme="minorEastAsia" w:hAnsiTheme="minorEastAsia"/>
                <w:color w:val="auto"/>
                <w:szCs w:val="21"/>
              </w:rPr>
              <w:t>即时档案扫描</w:t>
            </w:r>
          </w:p>
        </w:tc>
        <w:tc>
          <w:tcPr>
            <w:tcW w:w="2126" w:type="dxa"/>
            <w:shd w:val="clear" w:color="auto" w:fill="auto"/>
            <w:vAlign w:val="center"/>
          </w:tcPr>
          <w:p w14:paraId="7AAF6321">
            <w:pPr>
              <w:spacing w:line="276" w:lineRule="auto"/>
              <w:jc w:val="center"/>
              <w:rPr>
                <w:rFonts w:cs="宋体" w:asciiTheme="minorEastAsia" w:hAnsiTheme="minorEastAsia"/>
                <w:color w:val="auto"/>
                <w:szCs w:val="21"/>
              </w:rPr>
            </w:pPr>
            <w:r>
              <w:rPr>
                <w:rFonts w:hint="eastAsia" w:cs="宋体" w:asciiTheme="minorEastAsia" w:hAnsiTheme="minorEastAsia"/>
                <w:color w:val="auto"/>
                <w:szCs w:val="21"/>
              </w:rPr>
              <w:t>0.45元/页</w:t>
            </w:r>
          </w:p>
        </w:tc>
      </w:tr>
      <w:tr w14:paraId="400DB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9" w:type="dxa"/>
            <w:shd w:val="clear" w:color="auto" w:fill="auto"/>
            <w:vAlign w:val="center"/>
          </w:tcPr>
          <w:p w14:paraId="52306BB8">
            <w:pPr>
              <w:spacing w:line="276" w:lineRule="auto"/>
              <w:jc w:val="center"/>
              <w:rPr>
                <w:rFonts w:hint="eastAsia" w:cs="宋体" w:asciiTheme="minorEastAsia" w:hAnsiTheme="minorEastAsia" w:eastAsiaTheme="minorEastAsia"/>
                <w:color w:val="auto"/>
                <w:szCs w:val="21"/>
                <w:lang w:val="en-US" w:eastAsia="zh-CN"/>
              </w:rPr>
            </w:pPr>
            <w:r>
              <w:rPr>
                <w:rFonts w:hint="eastAsia" w:cs="宋体" w:asciiTheme="minorEastAsia" w:hAnsiTheme="minorEastAsia"/>
                <w:color w:val="auto"/>
                <w:szCs w:val="21"/>
                <w:lang w:val="en-US" w:eastAsia="zh-CN"/>
              </w:rPr>
              <w:t>3</w:t>
            </w:r>
          </w:p>
        </w:tc>
        <w:tc>
          <w:tcPr>
            <w:tcW w:w="5242" w:type="dxa"/>
            <w:shd w:val="clear" w:color="auto" w:fill="auto"/>
            <w:vAlign w:val="center"/>
          </w:tcPr>
          <w:p w14:paraId="2AF18878">
            <w:pPr>
              <w:spacing w:line="276" w:lineRule="auto"/>
              <w:rPr>
                <w:rFonts w:hint="eastAsia" w:cs="宋体" w:asciiTheme="minorEastAsia" w:hAnsiTheme="minorEastAsia"/>
                <w:color w:val="auto"/>
                <w:szCs w:val="21"/>
              </w:rPr>
            </w:pPr>
            <w:r>
              <w:rPr>
                <w:rFonts w:hint="eastAsia" w:cs="宋体" w:asciiTheme="minorEastAsia" w:hAnsiTheme="minorEastAsia"/>
                <w:color w:val="auto"/>
                <w:szCs w:val="21"/>
              </w:rPr>
              <w:t>归档验卷</w:t>
            </w:r>
          </w:p>
        </w:tc>
        <w:tc>
          <w:tcPr>
            <w:tcW w:w="2126" w:type="dxa"/>
            <w:shd w:val="clear" w:color="auto" w:fill="auto"/>
            <w:vAlign w:val="center"/>
          </w:tcPr>
          <w:p w14:paraId="6723B6EB">
            <w:pPr>
              <w:spacing w:line="276" w:lineRule="auto"/>
              <w:jc w:val="center"/>
              <w:rPr>
                <w:rFonts w:hint="default" w:cs="宋体" w:asciiTheme="minorEastAsia" w:hAnsiTheme="minorEastAsia" w:eastAsiaTheme="minorEastAsia"/>
                <w:color w:val="auto"/>
                <w:szCs w:val="21"/>
                <w:lang w:val="en-US" w:eastAsia="zh-CN"/>
              </w:rPr>
            </w:pPr>
            <w:r>
              <w:rPr>
                <w:rFonts w:hint="eastAsia" w:cs="宋体" w:asciiTheme="minorEastAsia" w:hAnsiTheme="minorEastAsia"/>
                <w:color w:val="auto"/>
                <w:szCs w:val="21"/>
                <w:lang w:val="en-US" w:eastAsia="zh-CN"/>
              </w:rPr>
              <w:t>10.00元/卷</w:t>
            </w:r>
          </w:p>
        </w:tc>
      </w:tr>
      <w:tr w14:paraId="18B07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9" w:type="dxa"/>
            <w:shd w:val="clear" w:color="auto" w:fill="auto"/>
            <w:vAlign w:val="center"/>
          </w:tcPr>
          <w:p w14:paraId="1F731D47">
            <w:pPr>
              <w:spacing w:line="276" w:lineRule="auto"/>
              <w:jc w:val="center"/>
              <w:rPr>
                <w:rFonts w:hint="eastAsia" w:cs="宋体" w:asciiTheme="minorEastAsia" w:hAnsiTheme="minorEastAsia" w:eastAsiaTheme="minorEastAsia"/>
                <w:color w:val="auto"/>
                <w:szCs w:val="21"/>
                <w:lang w:val="en-US" w:eastAsia="zh-CN"/>
              </w:rPr>
            </w:pPr>
            <w:r>
              <w:rPr>
                <w:rFonts w:hint="eastAsia" w:cs="宋体" w:asciiTheme="minorEastAsia" w:hAnsiTheme="minorEastAsia"/>
                <w:color w:val="auto"/>
                <w:szCs w:val="21"/>
                <w:lang w:val="en-US" w:eastAsia="zh-CN"/>
              </w:rPr>
              <w:t>4</w:t>
            </w:r>
          </w:p>
        </w:tc>
        <w:tc>
          <w:tcPr>
            <w:tcW w:w="5242" w:type="dxa"/>
            <w:shd w:val="clear" w:color="auto" w:fill="auto"/>
            <w:vAlign w:val="center"/>
          </w:tcPr>
          <w:p w14:paraId="6A63398B">
            <w:pPr>
              <w:spacing w:line="276" w:lineRule="auto"/>
              <w:rPr>
                <w:rFonts w:cs="宋体" w:asciiTheme="minorEastAsia" w:hAnsiTheme="minorEastAsia"/>
                <w:color w:val="auto"/>
                <w:szCs w:val="21"/>
              </w:rPr>
            </w:pPr>
            <w:r>
              <w:rPr>
                <w:rFonts w:hint="eastAsia" w:cs="宋体" w:asciiTheme="minorEastAsia" w:hAnsiTheme="minorEastAsia"/>
                <w:color w:val="auto"/>
                <w:szCs w:val="21"/>
              </w:rPr>
              <w:t>仅装订</w:t>
            </w:r>
          </w:p>
        </w:tc>
        <w:tc>
          <w:tcPr>
            <w:tcW w:w="2126" w:type="dxa"/>
            <w:shd w:val="clear" w:color="auto" w:fill="auto"/>
            <w:vAlign w:val="center"/>
          </w:tcPr>
          <w:p w14:paraId="26BD60F8">
            <w:pPr>
              <w:spacing w:line="276" w:lineRule="auto"/>
              <w:jc w:val="center"/>
              <w:rPr>
                <w:rFonts w:cs="宋体" w:asciiTheme="minorEastAsia" w:hAnsiTheme="minorEastAsia"/>
                <w:color w:val="auto"/>
                <w:szCs w:val="21"/>
              </w:rPr>
            </w:pPr>
            <w:r>
              <w:rPr>
                <w:rFonts w:hint="eastAsia" w:cs="宋体" w:asciiTheme="minorEastAsia" w:hAnsiTheme="minorEastAsia"/>
                <w:color w:val="auto"/>
                <w:szCs w:val="21"/>
              </w:rPr>
              <w:t>6.00元/卷</w:t>
            </w:r>
          </w:p>
        </w:tc>
      </w:tr>
    </w:tbl>
    <w:p w14:paraId="501564FB">
      <w:pPr>
        <w:spacing w:line="276" w:lineRule="auto"/>
        <w:ind w:firstLine="210" w:firstLineChars="100"/>
        <w:rPr>
          <w:rFonts w:cs="宋体" w:asciiTheme="minorEastAsia" w:hAnsiTheme="minorEastAsia"/>
          <w:bCs/>
          <w:szCs w:val="21"/>
          <w:u w:val="single"/>
        </w:rPr>
      </w:pPr>
      <w:r>
        <w:rPr>
          <w:rFonts w:hint="eastAsia" w:cs="宋体" w:asciiTheme="minorEastAsia" w:hAnsiTheme="minorEastAsia"/>
          <w:bCs/>
          <w:szCs w:val="21"/>
          <w:u w:val="single"/>
        </w:rPr>
        <w:t>本项目按单价进行填报，任意一项单项报价超出单项最高限价的报价，其投标均按无效标处理。</w:t>
      </w:r>
    </w:p>
    <w:p w14:paraId="58781F16">
      <w:pPr>
        <w:spacing w:line="276" w:lineRule="auto"/>
        <w:rPr>
          <w:rFonts w:cs="宋体" w:asciiTheme="minorEastAsia" w:hAnsiTheme="minorEastAsia"/>
          <w:b/>
          <w:bCs/>
          <w:szCs w:val="21"/>
        </w:rPr>
      </w:pPr>
      <w:r>
        <w:rPr>
          <w:rFonts w:hint="eastAsia" w:cs="宋体" w:asciiTheme="minorEastAsia" w:hAnsiTheme="minorEastAsia"/>
          <w:b/>
          <w:bCs/>
          <w:szCs w:val="21"/>
        </w:rPr>
        <w:t>三、技术要求</w:t>
      </w:r>
    </w:p>
    <w:p w14:paraId="76A48106">
      <w:pPr>
        <w:spacing w:line="276" w:lineRule="auto"/>
        <w:rPr>
          <w:rFonts w:cs="宋体" w:asciiTheme="minorEastAsia" w:hAnsiTheme="minorEastAsia"/>
          <w:b/>
          <w:bCs/>
          <w:szCs w:val="21"/>
        </w:rPr>
      </w:pPr>
      <w:r>
        <w:rPr>
          <w:rFonts w:hint="eastAsia" w:cs="宋体" w:asciiTheme="minorEastAsia" w:hAnsiTheme="minorEastAsia"/>
          <w:b/>
          <w:bCs/>
          <w:szCs w:val="21"/>
        </w:rPr>
        <w:t>一）技术标准</w:t>
      </w:r>
    </w:p>
    <w:p w14:paraId="2559B4BE">
      <w:pPr>
        <w:spacing w:line="276" w:lineRule="auto"/>
        <w:rPr>
          <w:rFonts w:cs="宋体" w:asciiTheme="minorEastAsia" w:hAnsiTheme="minorEastAsia"/>
          <w:szCs w:val="21"/>
        </w:rPr>
      </w:pPr>
      <w:r>
        <w:rPr>
          <w:rFonts w:hint="eastAsia" w:cs="宋体" w:asciiTheme="minorEastAsia" w:hAnsiTheme="minorEastAsia"/>
          <w:szCs w:val="21"/>
        </w:rPr>
        <w:t>1、DA/T31-2017 中华人民共和国档案行业标准《纸质档案数字化技术规范》；</w:t>
      </w:r>
    </w:p>
    <w:p w14:paraId="059C4844">
      <w:pPr>
        <w:spacing w:line="276" w:lineRule="auto"/>
        <w:rPr>
          <w:rFonts w:cs="宋体" w:asciiTheme="minorEastAsia" w:hAnsiTheme="minorEastAsia"/>
          <w:szCs w:val="21"/>
        </w:rPr>
      </w:pPr>
      <w:r>
        <w:rPr>
          <w:rFonts w:hint="eastAsia" w:cs="宋体" w:asciiTheme="minorEastAsia" w:hAnsiTheme="minorEastAsia"/>
          <w:szCs w:val="21"/>
        </w:rPr>
        <w:t>2、DA/T18-2022《档案著录规则》；</w:t>
      </w:r>
    </w:p>
    <w:p w14:paraId="5662964E">
      <w:pPr>
        <w:spacing w:line="276" w:lineRule="auto"/>
        <w:rPr>
          <w:rFonts w:cs="宋体" w:asciiTheme="minorEastAsia" w:hAnsiTheme="minorEastAsia"/>
          <w:szCs w:val="21"/>
        </w:rPr>
      </w:pPr>
      <w:r>
        <w:rPr>
          <w:rFonts w:hint="eastAsia" w:cs="宋体" w:asciiTheme="minorEastAsia" w:hAnsiTheme="minorEastAsia"/>
          <w:szCs w:val="21"/>
        </w:rPr>
        <w:t>3、GB/T18894-2016《电子文档归档与管理规范》；</w:t>
      </w:r>
    </w:p>
    <w:p w14:paraId="2EE39FFF">
      <w:pPr>
        <w:spacing w:line="276" w:lineRule="auto"/>
        <w:rPr>
          <w:rFonts w:cs="宋体" w:asciiTheme="minorEastAsia" w:hAnsiTheme="minorEastAsia"/>
          <w:szCs w:val="21"/>
        </w:rPr>
      </w:pPr>
      <w:r>
        <w:rPr>
          <w:rFonts w:hint="eastAsia" w:cs="宋体" w:asciiTheme="minorEastAsia" w:hAnsiTheme="minorEastAsia"/>
          <w:szCs w:val="21"/>
        </w:rPr>
        <w:t>4、《中华人民共和国档案法》；</w:t>
      </w:r>
    </w:p>
    <w:p w14:paraId="4C95BEFF">
      <w:pPr>
        <w:spacing w:line="276" w:lineRule="auto"/>
        <w:rPr>
          <w:rFonts w:cs="宋体" w:asciiTheme="minorEastAsia" w:hAnsiTheme="minorEastAsia"/>
          <w:szCs w:val="21"/>
        </w:rPr>
      </w:pPr>
      <w:r>
        <w:rPr>
          <w:rFonts w:hint="eastAsia" w:cs="宋体" w:asciiTheme="minorEastAsia" w:hAnsiTheme="minorEastAsia"/>
          <w:szCs w:val="21"/>
        </w:rPr>
        <w:t>5、GB/T7156-2016《文献保密等级代码》；</w:t>
      </w:r>
    </w:p>
    <w:p w14:paraId="5F64548A">
      <w:pPr>
        <w:spacing w:line="276" w:lineRule="auto"/>
        <w:rPr>
          <w:rFonts w:cs="宋体" w:asciiTheme="minorEastAsia" w:hAnsiTheme="minorEastAsia"/>
          <w:szCs w:val="21"/>
        </w:rPr>
      </w:pPr>
      <w:r>
        <w:rPr>
          <w:rFonts w:hint="eastAsia" w:cs="宋体" w:asciiTheme="minorEastAsia" w:hAnsiTheme="minorEastAsia"/>
          <w:szCs w:val="21"/>
        </w:rPr>
        <w:t>6、最高人民法院《人民法院纸质档案数字化处理规范》2007；</w:t>
      </w:r>
    </w:p>
    <w:p w14:paraId="3F20C687">
      <w:pPr>
        <w:spacing w:line="276" w:lineRule="auto"/>
        <w:rPr>
          <w:rFonts w:cs="宋体" w:asciiTheme="minorEastAsia" w:hAnsiTheme="minorEastAsia"/>
          <w:szCs w:val="21"/>
        </w:rPr>
      </w:pPr>
      <w:r>
        <w:rPr>
          <w:rFonts w:hint="eastAsia" w:cs="宋体" w:asciiTheme="minorEastAsia" w:hAnsiTheme="minorEastAsia"/>
          <w:szCs w:val="21"/>
        </w:rPr>
        <w:t>7、陕西省高级人民法院《关于全省法院卷宗数字化技术要求的通知》陕高法〔2017〕205号文件。</w:t>
      </w:r>
    </w:p>
    <w:p w14:paraId="48BAB4BB">
      <w:pPr>
        <w:spacing w:line="276" w:lineRule="auto"/>
        <w:rPr>
          <w:rFonts w:cs="宋体" w:asciiTheme="minorEastAsia" w:hAnsiTheme="minorEastAsia"/>
          <w:szCs w:val="21"/>
        </w:rPr>
      </w:pPr>
      <w:r>
        <w:rPr>
          <w:rFonts w:hint="eastAsia" w:cs="宋体" w:asciiTheme="minorEastAsia" w:hAnsiTheme="minorEastAsia"/>
          <w:szCs w:val="21"/>
        </w:rPr>
        <w:t>8、《最高人民法院关于全面推进人民法院电子卷宗随案同步生成和深度应用的指导意见》</w:t>
      </w:r>
    </w:p>
    <w:p w14:paraId="5D4C9731">
      <w:pPr>
        <w:spacing w:line="276" w:lineRule="auto"/>
        <w:rPr>
          <w:rFonts w:cs="宋体" w:asciiTheme="minorEastAsia" w:hAnsiTheme="minorEastAsia"/>
          <w:szCs w:val="21"/>
        </w:rPr>
      </w:pPr>
      <w:r>
        <w:rPr>
          <w:rFonts w:hint="eastAsia" w:cs="宋体" w:asciiTheme="minorEastAsia" w:hAnsiTheme="minorEastAsia"/>
          <w:szCs w:val="21"/>
        </w:rPr>
        <w:t>9、《最高人民法院关于进一步加快推进电子卷宗随案同步生成和深度应用工作的通知》</w:t>
      </w:r>
    </w:p>
    <w:p w14:paraId="31DD117B">
      <w:pPr>
        <w:spacing w:line="276" w:lineRule="auto"/>
        <w:rPr>
          <w:rFonts w:cs="宋体" w:asciiTheme="minorEastAsia" w:hAnsiTheme="minorEastAsia"/>
          <w:szCs w:val="21"/>
        </w:rPr>
      </w:pPr>
      <w:r>
        <w:rPr>
          <w:rFonts w:hint="eastAsia" w:cs="宋体" w:asciiTheme="minorEastAsia" w:hAnsiTheme="minorEastAsia"/>
          <w:szCs w:val="21"/>
        </w:rPr>
        <w:t>10、《电子卷宗随案同步生成与管理应用技术要求》</w:t>
      </w:r>
    </w:p>
    <w:p w14:paraId="20792C3F">
      <w:pPr>
        <w:spacing w:line="276" w:lineRule="auto"/>
        <w:rPr>
          <w:rFonts w:cs="宋体" w:asciiTheme="minorEastAsia" w:hAnsiTheme="minorEastAsia"/>
          <w:szCs w:val="21"/>
        </w:rPr>
      </w:pPr>
      <w:r>
        <w:rPr>
          <w:rFonts w:hint="eastAsia" w:cs="宋体" w:asciiTheme="minorEastAsia" w:hAnsiTheme="minorEastAsia"/>
          <w:szCs w:val="21"/>
        </w:rPr>
        <w:t>11、《电子卷宗阅卷目录规范》</w:t>
      </w:r>
    </w:p>
    <w:p w14:paraId="72C0BF3C">
      <w:pPr>
        <w:spacing w:line="276" w:lineRule="auto"/>
        <w:rPr>
          <w:rFonts w:cs="宋体" w:asciiTheme="minorEastAsia" w:hAnsiTheme="minorEastAsia"/>
          <w:szCs w:val="21"/>
        </w:rPr>
      </w:pPr>
      <w:r>
        <w:rPr>
          <w:rFonts w:hint="eastAsia" w:cs="宋体" w:asciiTheme="minorEastAsia" w:hAnsiTheme="minorEastAsia"/>
          <w:szCs w:val="21"/>
        </w:rPr>
        <w:t>12、《电子档案管理应用技术要求》</w:t>
      </w:r>
    </w:p>
    <w:p w14:paraId="1C9C5CC6">
      <w:pPr>
        <w:spacing w:line="276" w:lineRule="auto"/>
        <w:rPr>
          <w:rFonts w:cs="宋体" w:asciiTheme="minorEastAsia" w:hAnsiTheme="minorEastAsia"/>
          <w:szCs w:val="21"/>
        </w:rPr>
      </w:pPr>
      <w:r>
        <w:rPr>
          <w:rFonts w:hint="eastAsia" w:cs="宋体" w:asciiTheme="minorEastAsia" w:hAnsiTheme="minorEastAsia"/>
          <w:szCs w:val="21"/>
        </w:rPr>
        <w:t>13、《基于电子卷宗的审判支持应用技术要求》</w:t>
      </w:r>
    </w:p>
    <w:p w14:paraId="571F0933">
      <w:pPr>
        <w:spacing w:line="276" w:lineRule="auto"/>
        <w:rPr>
          <w:rFonts w:cs="宋体" w:asciiTheme="minorEastAsia" w:hAnsiTheme="minorEastAsia"/>
          <w:szCs w:val="21"/>
        </w:rPr>
      </w:pPr>
      <w:r>
        <w:rPr>
          <w:rFonts w:hint="eastAsia" w:cs="宋体" w:asciiTheme="minorEastAsia" w:hAnsiTheme="minorEastAsia"/>
          <w:szCs w:val="21"/>
        </w:rPr>
        <w:t>14、《法院电子卷宗数据汇聚技术规范》</w:t>
      </w:r>
    </w:p>
    <w:p w14:paraId="4D0E1B93">
      <w:pPr>
        <w:spacing w:line="276" w:lineRule="auto"/>
        <w:rPr>
          <w:rFonts w:cs="宋体" w:asciiTheme="minorEastAsia" w:hAnsiTheme="minorEastAsia"/>
          <w:szCs w:val="21"/>
        </w:rPr>
      </w:pPr>
      <w:r>
        <w:rPr>
          <w:rFonts w:hint="eastAsia" w:cs="宋体" w:asciiTheme="minorEastAsia" w:hAnsiTheme="minorEastAsia"/>
          <w:szCs w:val="21"/>
        </w:rPr>
        <w:t>15、碑林区人民法院的档案信息化管理系统及其他相关行业标准的要求。</w:t>
      </w:r>
    </w:p>
    <w:p w14:paraId="4F264357">
      <w:pPr>
        <w:spacing w:line="276" w:lineRule="auto"/>
        <w:rPr>
          <w:rFonts w:cs="宋体" w:asciiTheme="minorEastAsia" w:hAnsiTheme="minorEastAsia"/>
          <w:b/>
          <w:bCs/>
          <w:szCs w:val="21"/>
        </w:rPr>
      </w:pPr>
      <w:r>
        <w:rPr>
          <w:rFonts w:hint="eastAsia" w:cs="宋体" w:asciiTheme="minorEastAsia" w:hAnsiTheme="minorEastAsia"/>
          <w:b/>
          <w:bCs/>
          <w:szCs w:val="21"/>
        </w:rPr>
        <w:t>二）具体工作要求</w:t>
      </w:r>
    </w:p>
    <w:p w14:paraId="775F4FAB">
      <w:pPr>
        <w:spacing w:line="276" w:lineRule="auto"/>
        <w:rPr>
          <w:rFonts w:cs="宋体" w:asciiTheme="minorEastAsia" w:hAnsiTheme="minorEastAsia"/>
          <w:szCs w:val="21"/>
        </w:rPr>
      </w:pPr>
      <w:r>
        <w:rPr>
          <w:rFonts w:hint="eastAsia" w:cs="宋体" w:asciiTheme="minorEastAsia" w:hAnsiTheme="minorEastAsia"/>
          <w:szCs w:val="21"/>
        </w:rPr>
        <w:t>1、随案同步要求</w:t>
      </w:r>
    </w:p>
    <w:p w14:paraId="4FFE6E8E">
      <w:pPr>
        <w:spacing w:line="276" w:lineRule="auto"/>
        <w:rPr>
          <w:rFonts w:cs="宋体" w:asciiTheme="minorEastAsia" w:hAnsiTheme="minorEastAsia"/>
          <w:szCs w:val="21"/>
        </w:rPr>
      </w:pPr>
      <w:r>
        <w:rPr>
          <w:rFonts w:hint="eastAsia" w:cs="宋体" w:asciiTheme="minorEastAsia" w:hAnsiTheme="minorEastAsia"/>
          <w:szCs w:val="21"/>
        </w:rPr>
        <w:t>1）解决法官对大量纸质卷宗在结案前的有序、统一管理和安全储存等问题。通过数字化技术与法院诉讼档案随案同步业务进行完美融合，实现审判全流程准无纸化办案。</w:t>
      </w:r>
    </w:p>
    <w:p w14:paraId="3A333D48">
      <w:pPr>
        <w:spacing w:line="276" w:lineRule="auto"/>
        <w:rPr>
          <w:rFonts w:cs="宋体" w:asciiTheme="minorEastAsia" w:hAnsiTheme="minorEastAsia"/>
          <w:szCs w:val="21"/>
        </w:rPr>
      </w:pPr>
      <w:r>
        <w:rPr>
          <w:rFonts w:hint="eastAsia" w:cs="宋体" w:asciiTheme="minorEastAsia" w:hAnsiTheme="minorEastAsia"/>
          <w:szCs w:val="21"/>
        </w:rPr>
        <w:t>2）在立案、调解、审查、合议、判决等阶段将产生案卷材料，对收取的纸质材料进行扫描、分类校验、加工、生成电子卷宗、挂接至交大慧谷系统、对收取的诉讼材料进行整理和保管、将诉讼材料整理为诉讼卷宗等工作。</w:t>
      </w:r>
    </w:p>
    <w:p w14:paraId="4E4D089A">
      <w:pPr>
        <w:spacing w:line="276" w:lineRule="auto"/>
        <w:rPr>
          <w:rFonts w:cs="宋体" w:asciiTheme="minorEastAsia" w:hAnsiTheme="minorEastAsia"/>
          <w:szCs w:val="21"/>
        </w:rPr>
      </w:pPr>
      <w:r>
        <w:rPr>
          <w:rFonts w:hint="eastAsia" w:cs="宋体" w:asciiTheme="minorEastAsia" w:hAnsiTheme="minorEastAsia"/>
          <w:szCs w:val="21"/>
        </w:rPr>
        <w:t>2、整理工作要求</w:t>
      </w:r>
    </w:p>
    <w:p w14:paraId="7AD63A6B">
      <w:pPr>
        <w:spacing w:line="276" w:lineRule="auto"/>
        <w:rPr>
          <w:rFonts w:cs="宋体" w:asciiTheme="minorEastAsia" w:hAnsiTheme="minorEastAsia"/>
          <w:szCs w:val="21"/>
        </w:rPr>
      </w:pPr>
      <w:r>
        <w:rPr>
          <w:rFonts w:hint="eastAsia" w:cs="宋体" w:asciiTheme="minorEastAsia" w:hAnsiTheme="minorEastAsia"/>
          <w:szCs w:val="21"/>
        </w:rPr>
        <w:t>1）依据档案实体与电子卷宗全面核对，确保纸质原件与电子文件完全一致。</w:t>
      </w:r>
    </w:p>
    <w:p w14:paraId="71F96B62">
      <w:pPr>
        <w:spacing w:line="276" w:lineRule="auto"/>
        <w:rPr>
          <w:rFonts w:cs="宋体" w:asciiTheme="minorEastAsia" w:hAnsiTheme="minorEastAsia"/>
          <w:szCs w:val="21"/>
        </w:rPr>
      </w:pPr>
      <w:r>
        <w:rPr>
          <w:rFonts w:hint="eastAsia" w:cs="宋体" w:asciiTheme="minorEastAsia" w:hAnsiTheme="minorEastAsia"/>
          <w:szCs w:val="21"/>
        </w:rPr>
        <w:t>2）认真清点档案页数，目录标注档案页数与实际档案页数不符时，应予修改（不改原件，另加备注）。清点档案过程中同时对档案进行再整理，如：去除档案中的金属品；对档案中夹带字条进行独立编号、粘贴衬纸等。</w:t>
      </w:r>
    </w:p>
    <w:p w14:paraId="0E9232AA">
      <w:pPr>
        <w:spacing w:line="276" w:lineRule="auto"/>
        <w:rPr>
          <w:rFonts w:cs="宋体" w:asciiTheme="minorEastAsia" w:hAnsiTheme="minorEastAsia"/>
          <w:szCs w:val="21"/>
        </w:rPr>
      </w:pPr>
      <w:r>
        <w:rPr>
          <w:rFonts w:hint="eastAsia" w:cs="宋体" w:asciiTheme="minorEastAsia" w:hAnsiTheme="minorEastAsia"/>
          <w:szCs w:val="21"/>
        </w:rPr>
        <w:t>3）在未去除装订物情况下影响扫描工作进行的档案，应拆除装订物。拆除装订物时应注意保护档案不受损害。</w:t>
      </w:r>
    </w:p>
    <w:p w14:paraId="1DD0EAB0">
      <w:pPr>
        <w:spacing w:line="276" w:lineRule="auto"/>
        <w:rPr>
          <w:rFonts w:cs="宋体" w:asciiTheme="minorEastAsia" w:hAnsiTheme="minorEastAsia"/>
          <w:szCs w:val="21"/>
        </w:rPr>
      </w:pPr>
      <w:r>
        <w:rPr>
          <w:rFonts w:hint="eastAsia" w:cs="宋体" w:asciiTheme="minorEastAsia" w:hAnsiTheme="minorEastAsia"/>
          <w:szCs w:val="21"/>
        </w:rPr>
        <w:t>4）档案严重破损、污染和字迹褪变情况在《扫描档案登记表》相应栏中标注清楚“此件只录不扫”、“此页不扫”、“原件破损”、“原件模糊”、“原件残缺”等情况说明。</w:t>
      </w:r>
    </w:p>
    <w:p w14:paraId="156DCA04">
      <w:pPr>
        <w:spacing w:line="276" w:lineRule="auto"/>
        <w:rPr>
          <w:rFonts w:cs="宋体" w:asciiTheme="minorEastAsia" w:hAnsiTheme="minorEastAsia"/>
          <w:szCs w:val="21"/>
        </w:rPr>
      </w:pPr>
      <w:r>
        <w:rPr>
          <w:rFonts w:hint="eastAsia" w:cs="宋体" w:asciiTheme="minorEastAsia" w:hAnsiTheme="minorEastAsia"/>
          <w:szCs w:val="21"/>
        </w:rPr>
        <w:t>5）档案破损严重、无法直接进行扫描的档案，应先进行技术修复，折皱不平影响扫描质量的原件应先进行平整处理再进行扫描。</w:t>
      </w:r>
    </w:p>
    <w:p w14:paraId="5E7C3BA9">
      <w:pPr>
        <w:spacing w:line="276" w:lineRule="auto"/>
        <w:rPr>
          <w:rFonts w:cs="宋体" w:asciiTheme="minorEastAsia" w:hAnsiTheme="minorEastAsia"/>
          <w:szCs w:val="21"/>
        </w:rPr>
      </w:pPr>
      <w:r>
        <w:rPr>
          <w:rFonts w:hint="eastAsia" w:cs="宋体" w:asciiTheme="minorEastAsia" w:hAnsiTheme="minorEastAsia"/>
          <w:szCs w:val="21"/>
        </w:rPr>
        <w:t>6）扫描工作完成后，拆除过装订物的档案应按要求装档案袋保管，且必须保持档案的排列顺序不变，做到安全、准确、无遗漏。</w:t>
      </w:r>
    </w:p>
    <w:p w14:paraId="67E9EDF1">
      <w:pPr>
        <w:spacing w:line="276" w:lineRule="auto"/>
        <w:rPr>
          <w:rFonts w:cs="宋体" w:asciiTheme="minorEastAsia" w:hAnsiTheme="minorEastAsia"/>
          <w:szCs w:val="21"/>
        </w:rPr>
      </w:pPr>
      <w:r>
        <w:rPr>
          <w:rFonts w:hint="eastAsia" w:cs="宋体" w:asciiTheme="minorEastAsia" w:hAnsiTheme="minorEastAsia"/>
          <w:szCs w:val="21"/>
        </w:rPr>
        <w:t>7）装订时尽可能保持原貌，遵循“两齐”，下面对齐、右边对齐。</w:t>
      </w:r>
    </w:p>
    <w:p w14:paraId="400BFFBA">
      <w:pPr>
        <w:spacing w:line="276" w:lineRule="auto"/>
        <w:rPr>
          <w:rFonts w:cs="宋体" w:asciiTheme="minorEastAsia" w:hAnsiTheme="minorEastAsia"/>
          <w:szCs w:val="21"/>
        </w:rPr>
      </w:pPr>
      <w:r>
        <w:rPr>
          <w:rFonts w:hint="eastAsia" w:cs="宋体" w:asciiTheme="minorEastAsia" w:hAnsiTheme="minorEastAsia"/>
          <w:szCs w:val="21"/>
        </w:rPr>
        <w:t>3、数字化技术要求</w:t>
      </w:r>
    </w:p>
    <w:p w14:paraId="23171DE3">
      <w:pPr>
        <w:spacing w:line="276" w:lineRule="auto"/>
        <w:rPr>
          <w:rFonts w:cs="宋体" w:asciiTheme="minorEastAsia" w:hAnsiTheme="minorEastAsia"/>
          <w:szCs w:val="21"/>
        </w:rPr>
      </w:pPr>
      <w:r>
        <w:rPr>
          <w:rFonts w:hint="eastAsia" w:cs="宋体" w:asciiTheme="minorEastAsia" w:hAnsiTheme="minorEastAsia"/>
          <w:szCs w:val="21"/>
        </w:rPr>
        <w:t>1）扫描模式：一般纸张采用彩色扫描，保存为G4压缩的JPG格式或TIFF格式，内容不清晰无法辨识内容的材料扫描为灰度图像，保存为G4压缩的JPEG格式。</w:t>
      </w:r>
    </w:p>
    <w:p w14:paraId="73920EF5">
      <w:pPr>
        <w:spacing w:line="276" w:lineRule="auto"/>
        <w:rPr>
          <w:rFonts w:cs="宋体" w:asciiTheme="minorEastAsia" w:hAnsiTheme="minorEastAsia"/>
          <w:szCs w:val="21"/>
        </w:rPr>
      </w:pPr>
      <w:r>
        <w:rPr>
          <w:rFonts w:hint="eastAsia" w:cs="宋体" w:asciiTheme="minorEastAsia" w:hAnsiTheme="minorEastAsia"/>
          <w:szCs w:val="21"/>
        </w:rPr>
        <w:t>2）图像存储格式为Jpg/TIFF，扫描分辨率不低于300dpi（应满足实际浏览、打印需要）</w:t>
      </w:r>
    </w:p>
    <w:p w14:paraId="69AAC0E0">
      <w:pPr>
        <w:spacing w:line="276" w:lineRule="auto"/>
        <w:rPr>
          <w:rFonts w:cs="宋体" w:asciiTheme="minorEastAsia" w:hAnsiTheme="minorEastAsia"/>
          <w:szCs w:val="21"/>
        </w:rPr>
      </w:pPr>
      <w:r>
        <w:rPr>
          <w:rFonts w:hint="eastAsia" w:cs="宋体" w:asciiTheme="minorEastAsia" w:hAnsiTheme="minorEastAsia"/>
          <w:szCs w:val="21"/>
        </w:rPr>
        <w:t>3）扫描图像应清晰、完整，且图像内容与档案实体内容相符，不能丢失或任意增加信息（标识符除外），不能有明显黑边、污点等，页面端正，不能有明显倾斜、卷曲、折痕。</w:t>
      </w:r>
    </w:p>
    <w:p w14:paraId="5956EDB9">
      <w:pPr>
        <w:spacing w:line="276" w:lineRule="auto"/>
        <w:rPr>
          <w:rFonts w:cs="宋体" w:asciiTheme="minorEastAsia" w:hAnsiTheme="minorEastAsia"/>
          <w:szCs w:val="21"/>
        </w:rPr>
      </w:pPr>
      <w:r>
        <w:rPr>
          <w:rFonts w:hint="eastAsia" w:cs="宋体" w:asciiTheme="minorEastAsia" w:hAnsiTheme="minorEastAsia"/>
          <w:szCs w:val="21"/>
        </w:rPr>
        <w:t>4）扫描的实际画幅数应与前处理登记的应扫画幅数一致，不能漏扫、重扫或多扫。</w:t>
      </w:r>
    </w:p>
    <w:p w14:paraId="33251267">
      <w:pPr>
        <w:spacing w:line="276" w:lineRule="auto"/>
        <w:rPr>
          <w:rFonts w:cs="宋体" w:asciiTheme="minorEastAsia" w:hAnsiTheme="minorEastAsia"/>
          <w:szCs w:val="21"/>
        </w:rPr>
      </w:pPr>
      <w:r>
        <w:rPr>
          <w:rFonts w:hint="eastAsia" w:cs="宋体" w:asciiTheme="minorEastAsia" w:hAnsiTheme="minorEastAsia"/>
          <w:szCs w:val="21"/>
        </w:rPr>
        <w:t>5）采用最为可靠的扫描设备和扫描方式完成档案扫描，避免纸张褶皱、撕裂、破损等情况的发生。</w:t>
      </w:r>
    </w:p>
    <w:p w14:paraId="2F7FB385">
      <w:pPr>
        <w:spacing w:line="276" w:lineRule="auto"/>
        <w:rPr>
          <w:rFonts w:cs="宋体" w:asciiTheme="minorEastAsia" w:hAnsiTheme="minorEastAsia"/>
          <w:szCs w:val="21"/>
        </w:rPr>
      </w:pPr>
      <w:r>
        <w:rPr>
          <w:rFonts w:hint="eastAsia" w:cs="宋体" w:asciiTheme="minorEastAsia" w:hAnsiTheme="minorEastAsia"/>
          <w:szCs w:val="21"/>
        </w:rPr>
        <w:t>6）老旧纸张质地脆弱，扫描时加衬纸。遇小张纸质材料时，粘帖编页后进行扫描。</w:t>
      </w:r>
    </w:p>
    <w:p w14:paraId="0FB2625A">
      <w:pPr>
        <w:spacing w:line="276" w:lineRule="auto"/>
        <w:rPr>
          <w:rFonts w:cs="宋体" w:asciiTheme="minorEastAsia" w:hAnsiTheme="minorEastAsia"/>
          <w:szCs w:val="21"/>
        </w:rPr>
      </w:pPr>
      <w:r>
        <w:rPr>
          <w:rFonts w:hint="eastAsia" w:cs="宋体" w:asciiTheme="minorEastAsia" w:hAnsiTheme="minorEastAsia"/>
          <w:szCs w:val="21"/>
        </w:rPr>
        <w:t>7）如遇到档案纸张质地脆弱，不适合反复拆装订的档案，须采用不拆卷扫描设备和方式进行扫描（选用该种扫描方式的档案，须报请采购人书面同意才能进行扫描），须提出具体扫描方案、扫描设备参数和功能介绍，否则该项为不响应。扫描时，应根据纸张质地、底色、薄厚程度等因素，设置最佳的扫描参数，保证图像扫描效果。</w:t>
      </w:r>
    </w:p>
    <w:p w14:paraId="2F3FFAB3">
      <w:pPr>
        <w:spacing w:line="276" w:lineRule="auto"/>
        <w:rPr>
          <w:rFonts w:cs="宋体" w:asciiTheme="minorEastAsia" w:hAnsiTheme="minorEastAsia"/>
          <w:szCs w:val="21"/>
        </w:rPr>
      </w:pPr>
      <w:r>
        <w:rPr>
          <w:rFonts w:hint="eastAsia" w:cs="宋体" w:asciiTheme="minorEastAsia" w:hAnsiTheme="minorEastAsia"/>
          <w:szCs w:val="21"/>
        </w:rPr>
        <w:t>4、数据挂接要求</w:t>
      </w:r>
    </w:p>
    <w:p w14:paraId="3B92952C">
      <w:pPr>
        <w:spacing w:line="276" w:lineRule="auto"/>
        <w:rPr>
          <w:rFonts w:cs="宋体" w:asciiTheme="minorEastAsia" w:hAnsiTheme="minorEastAsia"/>
          <w:szCs w:val="21"/>
        </w:rPr>
      </w:pPr>
      <w:r>
        <w:rPr>
          <w:rFonts w:hint="eastAsia" w:cs="宋体" w:asciiTheme="minorEastAsia" w:hAnsiTheme="minorEastAsia"/>
          <w:szCs w:val="21"/>
        </w:rPr>
        <w:t>1）数据批量挂接。图像数据验收合格后，使用专门程序或软件，将扫描所得的一个或多个图像文件，</w:t>
      </w:r>
      <w:r>
        <w:rPr>
          <w:rFonts w:hint="eastAsia" w:cs="宋体" w:asciiTheme="minorEastAsia" w:hAnsiTheme="minorEastAsia"/>
          <w:color w:val="auto"/>
          <w:szCs w:val="21"/>
        </w:rPr>
        <w:t>与</w:t>
      </w:r>
      <w:r>
        <w:rPr>
          <w:rFonts w:hint="eastAsia" w:cs="宋体" w:asciiTheme="minorEastAsia" w:hAnsiTheme="minorEastAsia"/>
          <w:szCs w:val="21"/>
        </w:rPr>
        <w:t>交大慧谷</w:t>
      </w:r>
      <w:r>
        <w:rPr>
          <w:rFonts w:hint="eastAsia" w:cs="宋体" w:asciiTheme="minorEastAsia" w:hAnsiTheme="minorEastAsia"/>
          <w:color w:val="auto"/>
          <w:szCs w:val="21"/>
        </w:rPr>
        <w:t>档</w:t>
      </w:r>
      <w:r>
        <w:rPr>
          <w:rFonts w:hint="eastAsia" w:cs="宋体" w:asciiTheme="minorEastAsia" w:hAnsiTheme="minorEastAsia"/>
          <w:szCs w:val="21"/>
        </w:rPr>
        <w:t>案目录数据建立起一一对应的关联关系，实现目录数据库与图像文件的批量挂接。</w:t>
      </w:r>
    </w:p>
    <w:p w14:paraId="0536FBF9">
      <w:pPr>
        <w:spacing w:line="276" w:lineRule="auto"/>
        <w:rPr>
          <w:rFonts w:cs="宋体" w:asciiTheme="minorEastAsia" w:hAnsiTheme="minorEastAsia"/>
          <w:szCs w:val="21"/>
        </w:rPr>
      </w:pPr>
      <w:r>
        <w:rPr>
          <w:rFonts w:hint="eastAsia" w:cs="宋体" w:asciiTheme="minorEastAsia" w:hAnsiTheme="minorEastAsia"/>
          <w:szCs w:val="21"/>
        </w:rPr>
        <w:t>2）数据挂接准确。必须保证目录数据库与图像文件的一一对应关系，不得错挂、漏挂。</w:t>
      </w:r>
    </w:p>
    <w:p w14:paraId="792443DA">
      <w:pPr>
        <w:spacing w:line="276" w:lineRule="auto"/>
        <w:rPr>
          <w:rFonts w:cs="宋体" w:asciiTheme="minorEastAsia" w:hAnsiTheme="minorEastAsia"/>
          <w:szCs w:val="21"/>
        </w:rPr>
      </w:pPr>
      <w:r>
        <w:rPr>
          <w:rFonts w:hint="eastAsia" w:cs="宋体" w:asciiTheme="minorEastAsia" w:hAnsiTheme="minorEastAsia"/>
          <w:szCs w:val="21"/>
        </w:rPr>
        <w:t>3）对于随案生成的扫描文件及时上传挂接到位，保证上传挂接的时效性。</w:t>
      </w:r>
    </w:p>
    <w:p w14:paraId="303F83D4">
      <w:pPr>
        <w:spacing w:line="276" w:lineRule="auto"/>
        <w:rPr>
          <w:rFonts w:cs="宋体" w:asciiTheme="minorEastAsia" w:hAnsiTheme="minorEastAsia"/>
          <w:szCs w:val="21"/>
        </w:rPr>
      </w:pPr>
      <w:r>
        <w:rPr>
          <w:rFonts w:hint="eastAsia" w:cs="宋体" w:asciiTheme="minorEastAsia" w:hAnsiTheme="minorEastAsia"/>
          <w:szCs w:val="21"/>
        </w:rPr>
        <w:t>5、数字化信息长期保存原数据封装要求</w:t>
      </w:r>
    </w:p>
    <w:p w14:paraId="2C00D494">
      <w:pPr>
        <w:spacing w:line="276" w:lineRule="auto"/>
        <w:rPr>
          <w:rFonts w:cs="宋体" w:asciiTheme="minorEastAsia" w:hAnsiTheme="minorEastAsia"/>
          <w:szCs w:val="21"/>
        </w:rPr>
      </w:pPr>
      <w:r>
        <w:rPr>
          <w:rFonts w:hint="eastAsia" w:cs="宋体" w:asciiTheme="minorEastAsia" w:hAnsiTheme="minorEastAsia"/>
          <w:szCs w:val="21"/>
        </w:rPr>
        <w:t>1）依据国家《基于XML的电子文件封装规范》（DA/T48-2009）开展数字化文件信息的封装工作。</w:t>
      </w:r>
    </w:p>
    <w:p w14:paraId="01C576F4">
      <w:pPr>
        <w:spacing w:line="276" w:lineRule="auto"/>
        <w:rPr>
          <w:rFonts w:cs="宋体" w:asciiTheme="minorEastAsia" w:hAnsiTheme="minorEastAsia"/>
          <w:szCs w:val="21"/>
        </w:rPr>
      </w:pPr>
      <w:r>
        <w:rPr>
          <w:rFonts w:hint="eastAsia" w:cs="宋体" w:asciiTheme="minorEastAsia" w:hAnsiTheme="minorEastAsia"/>
          <w:szCs w:val="21"/>
        </w:rPr>
        <w:t>2）提供数字化信息封装元数据的利用方法，同时具备数字化元数据向档案管理系统恢复的功能。</w:t>
      </w:r>
    </w:p>
    <w:p w14:paraId="603651C9">
      <w:pPr>
        <w:spacing w:line="276" w:lineRule="auto"/>
        <w:rPr>
          <w:rFonts w:cs="宋体" w:asciiTheme="minorEastAsia" w:hAnsiTheme="minorEastAsia"/>
          <w:szCs w:val="21"/>
        </w:rPr>
      </w:pPr>
      <w:r>
        <w:rPr>
          <w:rFonts w:hint="eastAsia" w:cs="宋体" w:asciiTheme="minorEastAsia" w:hAnsiTheme="minorEastAsia"/>
          <w:szCs w:val="21"/>
        </w:rPr>
        <w:t>3）数字化信息元数据封装包的保存采用移动硬盘。</w:t>
      </w:r>
    </w:p>
    <w:p w14:paraId="568F13FF">
      <w:pPr>
        <w:spacing w:line="276" w:lineRule="auto"/>
        <w:rPr>
          <w:rFonts w:cs="宋体" w:asciiTheme="minorEastAsia" w:hAnsiTheme="minorEastAsia"/>
          <w:szCs w:val="21"/>
        </w:rPr>
      </w:pPr>
      <w:r>
        <w:rPr>
          <w:rFonts w:hint="eastAsia" w:cs="宋体" w:asciiTheme="minorEastAsia" w:hAnsiTheme="minorEastAsia"/>
          <w:szCs w:val="21"/>
        </w:rPr>
        <w:t>6、档案数字化信息数据备份与存储</w:t>
      </w:r>
    </w:p>
    <w:p w14:paraId="2980A03D">
      <w:pPr>
        <w:spacing w:line="276" w:lineRule="auto"/>
        <w:rPr>
          <w:rFonts w:cs="宋体" w:asciiTheme="minorEastAsia" w:hAnsiTheme="minorEastAsia"/>
          <w:szCs w:val="21"/>
        </w:rPr>
      </w:pPr>
      <w:r>
        <w:rPr>
          <w:rFonts w:hint="eastAsia" w:cs="宋体" w:asciiTheme="minorEastAsia" w:hAnsiTheme="minorEastAsia"/>
          <w:szCs w:val="21"/>
        </w:rPr>
        <w:t>1）通过数据挂接后，按全宗管理原则备份Jpg/TIFF格式原始数据移动硬盘，并编制纸质目录。</w:t>
      </w:r>
    </w:p>
    <w:p w14:paraId="45434AEE">
      <w:pPr>
        <w:spacing w:line="276" w:lineRule="auto"/>
        <w:rPr>
          <w:rFonts w:cs="宋体" w:asciiTheme="minorEastAsia" w:hAnsiTheme="minorEastAsia"/>
          <w:szCs w:val="21"/>
        </w:rPr>
      </w:pPr>
      <w:r>
        <w:rPr>
          <w:rFonts w:hint="eastAsia" w:cs="宋体" w:asciiTheme="minorEastAsia" w:hAnsiTheme="minorEastAsia"/>
          <w:szCs w:val="21"/>
        </w:rPr>
        <w:t>2）数据备份移动硬盘由采购人提供。数据信息中严禁带有计算机病毒及黑客程序等有害信息和与档案无关的信息（下同）。</w:t>
      </w:r>
    </w:p>
    <w:p w14:paraId="0CB23DDC">
      <w:pPr>
        <w:spacing w:line="276" w:lineRule="auto"/>
        <w:rPr>
          <w:rFonts w:cs="宋体" w:asciiTheme="minorEastAsia" w:hAnsiTheme="minorEastAsia"/>
          <w:szCs w:val="21"/>
        </w:rPr>
      </w:pPr>
      <w:r>
        <w:rPr>
          <w:rFonts w:hint="eastAsia" w:cs="宋体" w:asciiTheme="minorEastAsia" w:hAnsiTheme="minorEastAsia"/>
          <w:szCs w:val="21"/>
        </w:rPr>
        <w:t>3）移动硬盘必须加贴标签，标签的内容必须完整、准确。标识内容：年度、类别、编号、硬盘容量大小和数据实际所占大小。</w:t>
      </w:r>
    </w:p>
    <w:p w14:paraId="4E2C1803">
      <w:pPr>
        <w:spacing w:line="276" w:lineRule="auto"/>
        <w:rPr>
          <w:rFonts w:cs="宋体" w:asciiTheme="minorEastAsia" w:hAnsiTheme="minorEastAsia"/>
          <w:szCs w:val="21"/>
        </w:rPr>
      </w:pPr>
      <w:r>
        <w:rPr>
          <w:rFonts w:hint="eastAsia" w:cs="宋体" w:asciiTheme="minorEastAsia" w:hAnsiTheme="minorEastAsia"/>
          <w:szCs w:val="21"/>
        </w:rPr>
        <w:t>4）扫描完成后，按年度类别进行移动硬盘数据备份，并编制纸质目录。</w:t>
      </w:r>
    </w:p>
    <w:p w14:paraId="40856E10">
      <w:pPr>
        <w:spacing w:line="276" w:lineRule="auto"/>
        <w:rPr>
          <w:rFonts w:cs="宋体" w:asciiTheme="minorEastAsia" w:hAnsiTheme="minorEastAsia"/>
          <w:szCs w:val="21"/>
        </w:rPr>
      </w:pPr>
      <w:r>
        <w:rPr>
          <w:rFonts w:hint="eastAsia" w:cs="宋体" w:asciiTheme="minorEastAsia" w:hAnsiTheme="minorEastAsia"/>
          <w:szCs w:val="21"/>
        </w:rPr>
        <w:t>5）备份内容：扫描原图、目录，挂接后运行的数据。</w:t>
      </w:r>
    </w:p>
    <w:p w14:paraId="02D75EC3">
      <w:pPr>
        <w:spacing w:line="276" w:lineRule="auto"/>
        <w:rPr>
          <w:rFonts w:cs="宋体" w:asciiTheme="minorEastAsia" w:hAnsiTheme="minorEastAsia"/>
          <w:szCs w:val="21"/>
        </w:rPr>
      </w:pPr>
      <w:r>
        <w:rPr>
          <w:rFonts w:hint="eastAsia" w:cs="宋体" w:asciiTheme="minorEastAsia" w:hAnsiTheme="minorEastAsia"/>
          <w:szCs w:val="21"/>
        </w:rPr>
        <w:t>7、生产线建设要求</w:t>
      </w:r>
    </w:p>
    <w:p w14:paraId="40C72549">
      <w:pPr>
        <w:spacing w:line="276" w:lineRule="auto"/>
        <w:rPr>
          <w:rFonts w:cs="宋体" w:asciiTheme="minorEastAsia" w:hAnsiTheme="minorEastAsia"/>
          <w:szCs w:val="21"/>
        </w:rPr>
      </w:pPr>
      <w:r>
        <w:rPr>
          <w:rFonts w:hint="eastAsia" w:cs="宋体" w:asciiTheme="minorEastAsia" w:hAnsiTheme="minorEastAsia"/>
          <w:szCs w:val="21"/>
        </w:rPr>
        <w:t>1）建设一条完整的、满足碑林区人民法院档案整理及扫描的生产线，完成包括场地规划、流程设计、人员配备、设备配备、建章立制等全方位的解决方案（实际交付以上要求的所有设计文档、建设方案、实施方案、合格的可以直接投入使用的加工生产线）</w:t>
      </w:r>
    </w:p>
    <w:p w14:paraId="55A69559">
      <w:pPr>
        <w:spacing w:line="276" w:lineRule="auto"/>
        <w:rPr>
          <w:rFonts w:cs="宋体" w:asciiTheme="minorEastAsia" w:hAnsiTheme="minorEastAsia"/>
          <w:szCs w:val="21"/>
        </w:rPr>
      </w:pPr>
      <w:r>
        <w:rPr>
          <w:rFonts w:hint="eastAsia" w:cs="宋体" w:asciiTheme="minorEastAsia" w:hAnsiTheme="minorEastAsia"/>
          <w:szCs w:val="21"/>
        </w:rPr>
        <w:t>2）项目所需的工具及耗材费用，档案扫描工作中的所有设备、办公桌椅、档案运输费用、工具与耗材费用均由服务商承担，工作场地及相关水电需求由投标供应商提供。</w:t>
      </w:r>
    </w:p>
    <w:p w14:paraId="09B8370E">
      <w:pPr>
        <w:spacing w:line="276" w:lineRule="auto"/>
        <w:rPr>
          <w:rFonts w:cs="宋体" w:asciiTheme="minorEastAsia" w:hAnsiTheme="minorEastAsia"/>
          <w:b/>
          <w:bCs/>
          <w:szCs w:val="21"/>
        </w:rPr>
      </w:pPr>
      <w:r>
        <w:rPr>
          <w:rFonts w:hint="eastAsia" w:cs="宋体" w:asciiTheme="minorEastAsia" w:hAnsiTheme="minorEastAsia"/>
          <w:b/>
          <w:bCs/>
          <w:szCs w:val="21"/>
        </w:rPr>
        <w:t>三）服务项目内容</w:t>
      </w:r>
    </w:p>
    <w:p w14:paraId="342350F2">
      <w:pPr>
        <w:spacing w:line="276" w:lineRule="auto"/>
        <w:rPr>
          <w:rFonts w:cs="宋体" w:asciiTheme="minorEastAsia" w:hAnsiTheme="minorEastAsia"/>
          <w:szCs w:val="21"/>
        </w:rPr>
      </w:pPr>
      <w:r>
        <w:rPr>
          <w:rFonts w:hint="eastAsia" w:cs="宋体" w:asciiTheme="minorEastAsia" w:hAnsiTheme="minorEastAsia"/>
          <w:szCs w:val="21"/>
        </w:rPr>
        <w:t>1、档案整理服务。</w:t>
      </w:r>
    </w:p>
    <w:p w14:paraId="2C9B4031">
      <w:pPr>
        <w:spacing w:line="276" w:lineRule="auto"/>
        <w:rPr>
          <w:rFonts w:cs="宋体" w:asciiTheme="minorEastAsia" w:hAnsiTheme="minorEastAsia"/>
          <w:szCs w:val="21"/>
        </w:rPr>
      </w:pPr>
      <w:r>
        <w:rPr>
          <w:rFonts w:hint="eastAsia" w:cs="宋体" w:asciiTheme="minorEastAsia" w:hAnsiTheme="minorEastAsia"/>
          <w:szCs w:val="21"/>
        </w:rPr>
        <w:t>2、档案扫描服务。</w:t>
      </w:r>
    </w:p>
    <w:p w14:paraId="22D312B8">
      <w:pPr>
        <w:spacing w:line="276" w:lineRule="auto"/>
        <w:rPr>
          <w:rFonts w:cs="宋体" w:asciiTheme="minorEastAsia" w:hAnsiTheme="minorEastAsia"/>
          <w:szCs w:val="21"/>
        </w:rPr>
      </w:pPr>
      <w:r>
        <w:rPr>
          <w:rFonts w:hint="eastAsia" w:cs="宋体" w:asciiTheme="minorEastAsia" w:hAnsiTheme="minorEastAsia"/>
          <w:szCs w:val="21"/>
        </w:rPr>
        <w:t>3、档案著录服务。</w:t>
      </w:r>
    </w:p>
    <w:p w14:paraId="1A024816">
      <w:pPr>
        <w:spacing w:line="276" w:lineRule="auto"/>
        <w:rPr>
          <w:rFonts w:cs="宋体" w:asciiTheme="minorEastAsia" w:hAnsiTheme="minorEastAsia"/>
          <w:szCs w:val="21"/>
        </w:rPr>
      </w:pPr>
      <w:r>
        <w:rPr>
          <w:rFonts w:hint="eastAsia" w:cs="宋体" w:asciiTheme="minorEastAsia" w:hAnsiTheme="minorEastAsia"/>
          <w:szCs w:val="21"/>
        </w:rPr>
        <w:t>4、档案数据挂接服务。</w:t>
      </w:r>
    </w:p>
    <w:p w14:paraId="2E7DCC98">
      <w:pPr>
        <w:spacing w:line="276" w:lineRule="auto"/>
        <w:rPr>
          <w:rFonts w:cs="宋体" w:asciiTheme="minorEastAsia" w:hAnsiTheme="minorEastAsia"/>
          <w:szCs w:val="21"/>
        </w:rPr>
      </w:pPr>
      <w:r>
        <w:rPr>
          <w:rFonts w:hint="eastAsia" w:cs="宋体" w:asciiTheme="minorEastAsia" w:hAnsiTheme="minorEastAsia"/>
          <w:szCs w:val="21"/>
        </w:rPr>
        <w:t>5、数据转换及安全存储服务。</w:t>
      </w:r>
    </w:p>
    <w:p w14:paraId="700D27B3">
      <w:pPr>
        <w:spacing w:line="276" w:lineRule="auto"/>
        <w:rPr>
          <w:rFonts w:cs="宋体" w:asciiTheme="minorEastAsia" w:hAnsiTheme="minorEastAsia"/>
          <w:szCs w:val="21"/>
        </w:rPr>
      </w:pPr>
      <w:r>
        <w:rPr>
          <w:rFonts w:hint="eastAsia" w:cs="宋体" w:asciiTheme="minorEastAsia" w:hAnsiTheme="minorEastAsia"/>
          <w:szCs w:val="21"/>
        </w:rPr>
        <w:t>6、数据运行保障服务。</w:t>
      </w:r>
    </w:p>
    <w:p w14:paraId="78350695">
      <w:pPr>
        <w:spacing w:line="276" w:lineRule="auto"/>
        <w:rPr>
          <w:rFonts w:cs="宋体" w:asciiTheme="minorEastAsia" w:hAnsiTheme="minorEastAsia"/>
          <w:szCs w:val="21"/>
        </w:rPr>
      </w:pPr>
      <w:r>
        <w:rPr>
          <w:rFonts w:hint="eastAsia" w:cs="宋体" w:asciiTheme="minorEastAsia" w:hAnsiTheme="minorEastAsia"/>
          <w:szCs w:val="21"/>
        </w:rPr>
        <w:t>7、预防性维护服务。</w:t>
      </w:r>
    </w:p>
    <w:p w14:paraId="47ADF6E3">
      <w:pPr>
        <w:spacing w:line="276" w:lineRule="auto"/>
        <w:rPr>
          <w:rFonts w:cs="宋体" w:asciiTheme="minorEastAsia" w:hAnsiTheme="minorEastAsia"/>
          <w:szCs w:val="21"/>
        </w:rPr>
      </w:pPr>
      <w:r>
        <w:rPr>
          <w:rFonts w:hint="eastAsia" w:cs="宋体" w:asciiTheme="minorEastAsia" w:hAnsiTheme="minorEastAsia"/>
          <w:szCs w:val="21"/>
        </w:rPr>
        <w:t>8、技术咨询服务。</w:t>
      </w:r>
    </w:p>
    <w:p w14:paraId="7BD0BB5F">
      <w:pPr>
        <w:spacing w:line="276" w:lineRule="auto"/>
        <w:rPr>
          <w:rFonts w:cs="宋体" w:asciiTheme="minorEastAsia" w:hAnsiTheme="minorEastAsia"/>
          <w:szCs w:val="21"/>
        </w:rPr>
      </w:pPr>
      <w:r>
        <w:rPr>
          <w:rFonts w:hint="eastAsia" w:cs="宋体" w:asciiTheme="minorEastAsia" w:hAnsiTheme="minorEastAsia"/>
          <w:szCs w:val="21"/>
        </w:rPr>
        <w:t>9、检测系统服务。</w:t>
      </w:r>
    </w:p>
    <w:p w14:paraId="17D1FEDE">
      <w:pPr>
        <w:spacing w:line="276" w:lineRule="auto"/>
        <w:rPr>
          <w:rFonts w:cs="宋体" w:asciiTheme="minorEastAsia" w:hAnsiTheme="minorEastAsia"/>
          <w:szCs w:val="21"/>
        </w:rPr>
      </w:pPr>
      <w:r>
        <w:rPr>
          <w:rFonts w:hint="eastAsia" w:cs="宋体" w:asciiTheme="minorEastAsia" w:hAnsiTheme="minorEastAsia"/>
          <w:szCs w:val="21"/>
        </w:rPr>
        <w:t>10、培训服务。</w:t>
      </w:r>
    </w:p>
    <w:p w14:paraId="1D569CFB">
      <w:pPr>
        <w:spacing w:line="276" w:lineRule="auto"/>
        <w:rPr>
          <w:rFonts w:cs="宋体" w:asciiTheme="minorEastAsia" w:hAnsiTheme="minorEastAsia"/>
          <w:szCs w:val="21"/>
        </w:rPr>
      </w:pPr>
      <w:r>
        <w:rPr>
          <w:rFonts w:hint="eastAsia" w:cs="宋体" w:asciiTheme="minorEastAsia" w:hAnsiTheme="minorEastAsia"/>
          <w:szCs w:val="21"/>
        </w:rPr>
        <w:t>11、数据备份数据迁移等。</w:t>
      </w:r>
    </w:p>
    <w:p w14:paraId="2DEA9162">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9CCCC5"/>
    <w:multiLevelType w:val="singleLevel"/>
    <w:tmpl w:val="B69CCCC5"/>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6F632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2026-06-24T09:27:49Z</dcterms:created>
  <dc:creator>YDD</dc:creator>
  <cp:lastModifiedBy>陕西中技招标有限公司</cp:lastModifiedBy>
  <dcterms:modified xsi:type="dcterms:W3CDTF">2026-06-24T09:27:52Z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eyJoZGlkIjoiMzY1NzVmNmVkN2I3ZmQ2OTRlNmFjNGJhZTI1NzQ0MWUiLCJ1c2VySWQiOiI0ODM0NjExNDgifQ==</vt:lpwstr>
  </property>
  <property fmtid="{D5CDD505-2E9C-101B-9397-08002B2CF9AE}" pid="4" name="ICV">
    <vt:lpwstr>945F8D402F3645CB9322AA80683601D8_12</vt:lpwstr>
  </property>
</Properties>
</file>