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版本号：2026-ZTJX-HZZB-1120260625001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南郑乡村旅游东环线导视系统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2026-ZTJX-HZZB-11</w:t>
      </w:r>
      <w:r>
        <w:br/>
      </w:r>
      <w:r>
        <w:br/>
      </w:r>
      <w:r>
        <w:br/>
      </w:r>
    </w:p>
    <w:p>
      <w:pPr>
        <w:pStyle w:val="null3"/>
        <w:jc w:val="center"/>
        <w:outlineLvl w:val="2"/>
      </w:pPr>
      <w:r>
        <w:rPr>
          <w:rFonts w:ascii="仿宋_GB2312" w:hAnsi="仿宋_GB2312" w:cs="仿宋_GB2312" w:eastAsia="仿宋_GB2312"/>
          <w:sz w:val="28"/>
          <w:b/>
        </w:rPr>
        <w:t>汉中市南郑区文化和旅游局</w:t>
      </w:r>
    </w:p>
    <w:p>
      <w:pPr>
        <w:pStyle w:val="null3"/>
        <w:jc w:val="center"/>
        <w:outlineLvl w:val="2"/>
      </w:pPr>
      <w:r>
        <w:rPr>
          <w:rFonts w:ascii="仿宋_GB2312" w:hAnsi="仿宋_GB2312" w:cs="仿宋_GB2312" w:eastAsia="仿宋_GB2312"/>
          <w:sz w:val="28"/>
          <w:b/>
        </w:rPr>
        <w:t>中天久信（陕西）管理咨询有限公司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中天久信（陕西）管理咨询有限公司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汉中市南郑区文化和旅游局</w:t>
      </w:r>
      <w:r>
        <w:rPr>
          <w:rFonts w:ascii="仿宋_GB2312" w:hAnsi="仿宋_GB2312" w:cs="仿宋_GB2312" w:eastAsia="仿宋_GB2312"/>
        </w:rPr>
        <w:t>委托，拟对</w:t>
      </w:r>
      <w:r>
        <w:rPr>
          <w:rFonts w:ascii="仿宋_GB2312" w:hAnsi="仿宋_GB2312" w:cs="仿宋_GB2312" w:eastAsia="仿宋_GB2312"/>
        </w:rPr>
        <w:t>南郑乡村旅游东环线导视系统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2026-ZTJX-HZZB-11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南郑乡村旅游东环线导视系统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按照景区标准要求，设计制作各节点驿站及旅游标识系统，安装各类标识标牌，内容包括入口形象导视、交通旅游指示牌、全线导览图、标识等设施。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采购包1（南郑乡村旅游东环线导视系统）：属于专门面向中小企业采购。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 事业法人应提供事业单位法人证、组织机构代码证等证明文件， 其他组织应提供相应的合法证明文件， 自然人提供身份证明文件。</w:t>
      </w:r>
    </w:p>
    <w:p>
      <w:pPr>
        <w:pStyle w:val="null3"/>
      </w:pPr>
      <w:r>
        <w:rPr>
          <w:rFonts w:ascii="仿宋_GB2312" w:hAnsi="仿宋_GB2312" w:cs="仿宋_GB2312" w:eastAsia="仿宋_GB2312"/>
        </w:rPr>
        <w:t>2、法定代表⼈⾝份证或授权委托书：非法定代表人参加的，须提供法定代表人委托授权书，法定代表人参加时,只须提供法定代表人身份证明。</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 、具有依法缴纳税收和社会保障资金的良好记录， 参加本项目采购活动前三年内在经营活动中无重大违法活动记录， 未列入在信用中国网站 “失信被执行人 ” 、“重大税收违法案件当事人名单 ” 中(www.creditchina.gov.cn)， 未列入中国政府采购网 “政府采购严重违法失信行为记录名单 ” 中（www.ccgp.gov.cn）， 供应商需提供加盖公章的《汉中市政府采购供应商资格承诺函》。</w:t>
      </w:r>
    </w:p>
    <w:p>
      <w:pPr>
        <w:pStyle w:val="null3"/>
      </w:pPr>
      <w:r>
        <w:rPr>
          <w:rFonts w:ascii="仿宋_GB2312" w:hAnsi="仿宋_GB2312" w:cs="仿宋_GB2312" w:eastAsia="仿宋_GB2312"/>
        </w:rPr>
        <w:t>4、中小企业声明函：本项目专门面向中小企业采购， 供应商应为中小微企业， 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南郑区汉山街道办东大街26号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0916-5516036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中天久信（陕西）管理咨询有限公司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19992659337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开户名称：中天久信（陕西）管理咨询有限公司汉中分公司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银行账号：61050165530000001515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国家发展改革委办公厅关于招标代理服务收费有关问题的通知》（发改办价格〔2003〕857号）规定标准收取，由中标/成交供应商领取中标通知书后5个工作日内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汉中市南郑区文化和旅游局</w:t>
      </w:r>
      <w:r>
        <w:rPr>
          <w:rFonts w:ascii="仿宋_GB2312" w:hAnsi="仿宋_GB2312" w:cs="仿宋_GB2312" w:eastAsia="仿宋_GB2312"/>
        </w:rPr>
        <w:t>和</w:t>
      </w:r>
      <w:r>
        <w:rPr>
          <w:rFonts w:ascii="仿宋_GB2312" w:hAnsi="仿宋_GB2312" w:cs="仿宋_GB2312" w:eastAsia="仿宋_GB2312"/>
        </w:rPr>
        <w:t>中天久信（陕西）管理咨询有限公司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中天久信（陕西）管理咨询有限公司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中天久信（陕西）管理咨询有限公司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乙方全部设计、制作、安装配套服务符合旅游景区标识相关行业规范、双方确认设计要求；标识文字图案准确无误，设施稳固安全，现场施工清理完毕，完整交付配套设计源文件、维保服务说明。</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联系人：曹先生</w:t>
      </w:r>
    </w:p>
    <w:p>
      <w:pPr>
        <w:pStyle w:val="null3"/>
      </w:pPr>
      <w:r>
        <w:rPr>
          <w:rFonts w:ascii="仿宋_GB2312" w:hAnsi="仿宋_GB2312" w:cs="仿宋_GB2312" w:eastAsia="仿宋_GB2312"/>
        </w:rPr>
        <w:t>联系电话：19992659337</w:t>
      </w:r>
    </w:p>
    <w:p>
      <w:pPr>
        <w:pStyle w:val="null3"/>
      </w:pPr>
      <w:r>
        <w:rPr>
          <w:rFonts w:ascii="仿宋_GB2312" w:hAnsi="仿宋_GB2312" w:cs="仿宋_GB2312" w:eastAsia="仿宋_GB2312"/>
        </w:rPr>
        <w:t>地址：陕西省汉中市汉台区东关街道办事处滨江路中青凯旋门 4号楼底商 202 号</w:t>
      </w:r>
    </w:p>
    <w:p>
      <w:pPr>
        <w:pStyle w:val="null3"/>
      </w:pPr>
      <w:r>
        <w:rPr>
          <w:rFonts w:ascii="仿宋_GB2312" w:hAnsi="仿宋_GB2312" w:cs="仿宋_GB2312" w:eastAsia="仿宋_GB2312"/>
        </w:rPr>
        <w:t>邮编：723099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按照景区标准要求，设计制作各节点驿站及旅游标识系统，安装各类标识标牌，内容包括入口形象导视、交通旅游指示牌、全线导览图、标识等设施。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南郑乡村旅游东环线导视系统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标的名称：南郑乡村旅游东环线导视系统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b/>
              </w:rPr>
              <w:t>一、整体要求</w:t>
            </w:r>
          </w:p>
          <w:p>
            <w:pPr>
              <w:pStyle w:val="null3"/>
              <w:spacing w:before="120" w:after="120"/>
            </w:pPr>
            <w:r>
              <w:rPr>
                <w:rFonts w:ascii="仿宋_GB2312" w:hAnsi="仿宋_GB2312" w:cs="仿宋_GB2312" w:eastAsia="仿宋_GB2312"/>
                <w:sz w:val="22"/>
              </w:rPr>
              <w:t>1.  所有标识导视牌具备统一的设计样式和元素，主题突出、导向清晰，符合南郑区乡村旅游东环线的整体视觉形象。</w:t>
            </w:r>
          </w:p>
          <w:p>
            <w:pPr>
              <w:pStyle w:val="null3"/>
              <w:spacing w:before="120" w:after="120"/>
            </w:pPr>
            <w:r>
              <w:rPr>
                <w:rFonts w:ascii="仿宋_GB2312" w:hAnsi="仿宋_GB2312" w:cs="仿宋_GB2312" w:eastAsia="仿宋_GB2312"/>
                <w:sz w:val="22"/>
              </w:rPr>
              <w:t>2.  所有户外设施材质需具备抗风、防雨、防晒、耐磨损、防腐防潮性能。</w:t>
            </w:r>
          </w:p>
          <w:p>
            <w:pPr>
              <w:pStyle w:val="null3"/>
              <w:spacing w:before="120" w:after="120"/>
            </w:pPr>
            <w:r>
              <w:rPr>
                <w:rFonts w:ascii="仿宋_GB2312" w:hAnsi="仿宋_GB2312" w:cs="仿宋_GB2312" w:eastAsia="仿宋_GB2312"/>
                <w:sz w:val="22"/>
              </w:rPr>
              <w:t>3.  施工及安装需符合户外设施安全规范，不破坏原有道路、绿化及场地环境，安装完成后需通过安全验收。</w:t>
            </w:r>
          </w:p>
          <w:p>
            <w:pPr>
              <w:pStyle w:val="null3"/>
              <w:spacing w:before="315" w:after="120"/>
            </w:pPr>
            <w:r>
              <w:rPr>
                <w:rFonts w:ascii="仿宋_GB2312" w:hAnsi="仿宋_GB2312" w:cs="仿宋_GB2312" w:eastAsia="仿宋_GB2312"/>
                <w:sz w:val="32"/>
                <w:b/>
              </w:rPr>
              <w:t>二、具体</w:t>
            </w:r>
            <w:r>
              <w:rPr>
                <w:rFonts w:ascii="仿宋_GB2312" w:hAnsi="仿宋_GB2312" w:cs="仿宋_GB2312" w:eastAsia="仿宋_GB2312"/>
                <w:sz w:val="32"/>
                <w:b/>
              </w:rPr>
              <w:t>服务</w:t>
            </w:r>
            <w:r>
              <w:rPr>
                <w:rFonts w:ascii="仿宋_GB2312" w:hAnsi="仿宋_GB2312" w:cs="仿宋_GB2312" w:eastAsia="仿宋_GB2312"/>
                <w:sz w:val="32"/>
                <w:b/>
              </w:rPr>
              <w:t>要求</w:t>
            </w:r>
          </w:p>
          <w:p>
            <w:pPr>
              <w:pStyle w:val="null3"/>
              <w:spacing w:before="300" w:after="120"/>
            </w:pPr>
            <w:r>
              <w:rPr>
                <w:rFonts w:ascii="仿宋_GB2312" w:hAnsi="仿宋_GB2312" w:cs="仿宋_GB2312" w:eastAsia="仿宋_GB2312"/>
                <w:sz w:val="30"/>
                <w:b/>
              </w:rPr>
              <w:t>（一）南郑区乡村旅游东环线一级导视（入口形象标识）</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设置数量及区域：共计</w:t>
            </w:r>
            <w:r>
              <w:rPr>
                <w:rFonts w:ascii="仿宋_GB2312" w:hAnsi="仿宋_GB2312" w:cs="仿宋_GB2312" w:eastAsia="仿宋_GB2312"/>
                <w:sz w:val="22"/>
              </w:rPr>
              <w:t>2</w:t>
            </w:r>
            <w:r>
              <w:rPr>
                <w:rFonts w:ascii="仿宋_GB2312" w:hAnsi="仿宋_GB2312" w:cs="仿宋_GB2312" w:eastAsia="仿宋_GB2312"/>
                <w:sz w:val="22"/>
              </w:rPr>
              <w:t>组，胡家营镇、牟家坝镇各设置</w:t>
            </w:r>
            <w:r>
              <w:rPr>
                <w:rFonts w:ascii="仿宋_GB2312" w:hAnsi="仿宋_GB2312" w:cs="仿宋_GB2312" w:eastAsia="仿宋_GB2312"/>
                <w:sz w:val="22"/>
              </w:rPr>
              <w:t>1组。</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设计尺寸：第一组长度</w:t>
            </w:r>
            <w:r>
              <w:rPr>
                <w:rFonts w:ascii="仿宋_GB2312" w:hAnsi="仿宋_GB2312" w:cs="仿宋_GB2312" w:eastAsia="仿宋_GB2312"/>
                <w:sz w:val="22"/>
              </w:rPr>
              <w:t>≥</w:t>
            </w:r>
            <w:r>
              <w:rPr>
                <w:rFonts w:ascii="仿宋_GB2312" w:hAnsi="仿宋_GB2312" w:cs="仿宋_GB2312" w:eastAsia="仿宋_GB2312"/>
                <w:sz w:val="22"/>
              </w:rPr>
              <w:t>12M，高度</w:t>
            </w:r>
            <w:r>
              <w:rPr>
                <w:rFonts w:ascii="仿宋_GB2312" w:hAnsi="仿宋_GB2312" w:cs="仿宋_GB2312" w:eastAsia="仿宋_GB2312"/>
                <w:sz w:val="22"/>
              </w:rPr>
              <w:t>≥</w:t>
            </w:r>
            <w:r>
              <w:rPr>
                <w:rFonts w:ascii="仿宋_GB2312" w:hAnsi="仿宋_GB2312" w:cs="仿宋_GB2312" w:eastAsia="仿宋_GB2312"/>
                <w:sz w:val="22"/>
              </w:rPr>
              <w:t>2.8M</w:t>
            </w:r>
            <w:r>
              <w:rPr>
                <w:rFonts w:ascii="仿宋_GB2312" w:hAnsi="仿宋_GB2312" w:cs="仿宋_GB2312" w:eastAsia="仿宋_GB2312"/>
                <w:sz w:val="22"/>
              </w:rPr>
              <w:t>；第二组长度</w:t>
            </w:r>
            <w:r>
              <w:rPr>
                <w:rFonts w:ascii="仿宋_GB2312" w:hAnsi="仿宋_GB2312" w:cs="仿宋_GB2312" w:eastAsia="仿宋_GB2312"/>
                <w:sz w:val="22"/>
              </w:rPr>
              <w:t>≥</w:t>
            </w:r>
            <w:r>
              <w:rPr>
                <w:rFonts w:ascii="仿宋_GB2312" w:hAnsi="仿宋_GB2312" w:cs="仿宋_GB2312" w:eastAsia="仿宋_GB2312"/>
                <w:sz w:val="22"/>
              </w:rPr>
              <w:t>10M，高度</w:t>
            </w:r>
            <w:r>
              <w:rPr>
                <w:rFonts w:ascii="仿宋_GB2312" w:hAnsi="仿宋_GB2312" w:cs="仿宋_GB2312" w:eastAsia="仿宋_GB2312"/>
                <w:sz w:val="22"/>
              </w:rPr>
              <w:t>≥</w:t>
            </w:r>
            <w:r>
              <w:rPr>
                <w:rFonts w:ascii="仿宋_GB2312" w:hAnsi="仿宋_GB2312" w:cs="仿宋_GB2312" w:eastAsia="仿宋_GB2312"/>
                <w:sz w:val="22"/>
              </w:rPr>
              <w:t>2.2M</w:t>
            </w:r>
            <w:r>
              <w:rPr>
                <w:rFonts w:ascii="仿宋_GB2312" w:hAnsi="仿宋_GB2312" w:cs="仿宋_GB2312" w:eastAsia="仿宋_GB2312"/>
                <w:sz w:val="22"/>
              </w:rPr>
              <w:t>，整体比例协调，具体厚度及细节结合设计方案确定。</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2</w:t>
            </w:r>
            <w:r>
              <w:rPr>
                <w:rFonts w:ascii="仿宋_GB2312" w:hAnsi="仿宋_GB2312" w:cs="仿宋_GB2312" w:eastAsia="仿宋_GB2312"/>
                <w:sz w:val="22"/>
              </w:rPr>
              <w:t>组视觉样式须基本统一，主题设计契合南郑区乡村旅游文化特色，辨识度高，包含主题</w:t>
            </w:r>
            <w:r>
              <w:rPr>
                <w:rFonts w:ascii="仿宋_GB2312" w:hAnsi="仿宋_GB2312" w:cs="仿宋_GB2312" w:eastAsia="仿宋_GB2312"/>
                <w:sz w:val="22"/>
              </w:rPr>
              <w:t>LOGO、宣传标语、主题图形元素等核心信息，色彩搭配协调，视觉效果醒目。</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要求：须采用螺纹钢筋焊接预埋框架、</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（二）南郑区乡村旅游东环线二级导视（交通旅游指示牌）</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设置数量：共计</w:t>
            </w:r>
            <w:r>
              <w:rPr>
                <w:rFonts w:ascii="仿宋_GB2312" w:hAnsi="仿宋_GB2312" w:cs="仿宋_GB2312" w:eastAsia="仿宋_GB2312"/>
                <w:sz w:val="22"/>
              </w:rPr>
              <w:t>14</w:t>
            </w:r>
            <w:r>
              <w:rPr>
                <w:rFonts w:ascii="仿宋_GB2312" w:hAnsi="仿宋_GB2312" w:cs="仿宋_GB2312" w:eastAsia="仿宋_GB2312"/>
                <w:sz w:val="22"/>
              </w:rPr>
              <w:t>组，南郑区胡家营镇、圣水镇、湘水镇、法镇、牟家坝镇按实际需求合理分布。</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设计尺寸：宽度</w:t>
            </w:r>
            <w:r>
              <w:rPr>
                <w:rFonts w:ascii="仿宋_GB2312" w:hAnsi="仿宋_GB2312" w:cs="仿宋_GB2312" w:eastAsia="仿宋_GB2312"/>
                <w:sz w:val="22"/>
              </w:rPr>
              <w:t>≥</w:t>
            </w:r>
            <w:r>
              <w:rPr>
                <w:rFonts w:ascii="仿宋_GB2312" w:hAnsi="仿宋_GB2312" w:cs="仿宋_GB2312" w:eastAsia="仿宋_GB2312"/>
                <w:sz w:val="22"/>
              </w:rPr>
              <w:t>4M，高度</w:t>
            </w:r>
            <w:r>
              <w:rPr>
                <w:rFonts w:ascii="仿宋_GB2312" w:hAnsi="仿宋_GB2312" w:cs="仿宋_GB2312" w:eastAsia="仿宋_GB2312"/>
                <w:sz w:val="22"/>
              </w:rPr>
              <w:t>≥</w:t>
            </w:r>
            <w:r>
              <w:rPr>
                <w:rFonts w:ascii="仿宋_GB2312" w:hAnsi="仿宋_GB2312" w:cs="仿宋_GB2312" w:eastAsia="仿宋_GB2312"/>
                <w:sz w:val="22"/>
              </w:rPr>
              <w:t>7M</w:t>
            </w:r>
            <w:r>
              <w:rPr>
                <w:rFonts w:ascii="仿宋_GB2312" w:hAnsi="仿宋_GB2312" w:cs="仿宋_GB2312" w:eastAsia="仿宋_GB2312"/>
                <w:sz w:val="22"/>
              </w:rPr>
              <w:t>，圆管立柱规格型号不低于</w:t>
            </w:r>
            <w:r>
              <w:rPr>
                <w:rFonts w:ascii="仿宋_GB2312" w:hAnsi="仿宋_GB2312" w:cs="仿宋_GB2312" w:eastAsia="仿宋_GB2312"/>
                <w:sz w:val="22"/>
                <w:b/>
              </w:rPr>
              <w:t>Φ</w:t>
            </w:r>
            <w:r>
              <w:rPr>
                <w:rFonts w:ascii="仿宋_GB2312" w:hAnsi="仿宋_GB2312" w:cs="仿宋_GB2312" w:eastAsia="仿宋_GB2312"/>
                <w:sz w:val="22"/>
              </w:rPr>
              <w:t>219，</w:t>
            </w:r>
            <w:r>
              <w:rPr>
                <w:rFonts w:ascii="仿宋_GB2312" w:hAnsi="仿宋_GB2312" w:cs="仿宋_GB2312" w:eastAsia="仿宋_GB2312"/>
                <w:sz w:val="22"/>
              </w:rPr>
              <w:t>指示牌铝板面板尺寸适配整体比例，便于游客远距离识别。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14</w:t>
            </w:r>
            <w:r>
              <w:rPr>
                <w:rFonts w:ascii="仿宋_GB2312" w:hAnsi="仿宋_GB2312" w:cs="仿宋_GB2312" w:eastAsia="仿宋_GB2312"/>
                <w:sz w:val="22"/>
              </w:rPr>
              <w:t>组样式统一，导向清晰，设计风格契合南郑区乡村旅游文化特色，辨识度高，采用铝板加反光膜材质，画面根据实际点位情况考虑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”问题，画面包含线路名称、方向指引箭头等内容；采用醒目色彩搭配，字体清晰、易识别，反光效果良好。</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要求：须采用螺纹钢筋焊接预埋框架、</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120" w:after="120"/>
            </w:pPr>
            <w:r>
              <w:rPr>
                <w:rFonts w:ascii="仿宋_GB2312" w:hAnsi="仿宋_GB2312" w:cs="仿宋_GB2312" w:eastAsia="仿宋_GB2312"/>
                <w:sz w:val="30"/>
                <w:b/>
              </w:rPr>
              <w:t>（三）南郑区乡村旅游东环线二级导视（全线导览图指示牌）</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设置数量：共计</w:t>
            </w:r>
            <w:r>
              <w:rPr>
                <w:rFonts w:ascii="仿宋_GB2312" w:hAnsi="仿宋_GB2312" w:cs="仿宋_GB2312" w:eastAsia="仿宋_GB2312"/>
                <w:sz w:val="22"/>
              </w:rPr>
              <w:t>5</w:t>
            </w:r>
            <w:r>
              <w:rPr>
                <w:rFonts w:ascii="仿宋_GB2312" w:hAnsi="仿宋_GB2312" w:cs="仿宋_GB2312" w:eastAsia="仿宋_GB2312"/>
                <w:sz w:val="22"/>
              </w:rPr>
              <w:t>组，南郑区胡家营镇、圣水镇、湘水镇、法镇、牟家坝镇按实际需求合理分布。</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设计尺寸：宽度</w:t>
            </w:r>
            <w:r>
              <w:rPr>
                <w:rFonts w:ascii="仿宋_GB2312" w:hAnsi="仿宋_GB2312" w:cs="仿宋_GB2312" w:eastAsia="仿宋_GB2312"/>
                <w:sz w:val="22"/>
              </w:rPr>
              <w:t>≥</w:t>
            </w:r>
            <w:r>
              <w:rPr>
                <w:rFonts w:ascii="仿宋_GB2312" w:hAnsi="仿宋_GB2312" w:cs="仿宋_GB2312" w:eastAsia="仿宋_GB2312"/>
                <w:sz w:val="22"/>
              </w:rPr>
              <w:t>3M，高度</w:t>
            </w:r>
            <w:r>
              <w:rPr>
                <w:rFonts w:ascii="仿宋_GB2312" w:hAnsi="仿宋_GB2312" w:cs="仿宋_GB2312" w:eastAsia="仿宋_GB2312"/>
                <w:sz w:val="22"/>
              </w:rPr>
              <w:t>≥</w:t>
            </w:r>
            <w:r>
              <w:rPr>
                <w:rFonts w:ascii="仿宋_GB2312" w:hAnsi="仿宋_GB2312" w:cs="仿宋_GB2312" w:eastAsia="仿宋_GB2312"/>
                <w:sz w:val="22"/>
              </w:rPr>
              <w:t>3M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5</w:t>
            </w:r>
            <w:r>
              <w:rPr>
                <w:rFonts w:ascii="仿宋_GB2312" w:hAnsi="仿宋_GB2312" w:cs="仿宋_GB2312" w:eastAsia="仿宋_GB2312"/>
                <w:sz w:val="22"/>
              </w:rPr>
              <w:t>组样式统一，采用金属造型底板，设计风格契合南郑区乡村旅游文化特色，辨识度高，地图信息准确无误，采用文旅手绘地图的风格样式，清晰标注南郑区乡村旅游东环线五个乡镇的主要道路分布、主要相关节点（观景点、停车场）等核心信息，导览逻辑清晰，便于游客快速获取信息；地图采用高清</w:t>
            </w:r>
            <w:r>
              <w:rPr>
                <w:rFonts w:ascii="仿宋_GB2312" w:hAnsi="仿宋_GB2312" w:cs="仿宋_GB2312" w:eastAsia="仿宋_GB2312"/>
                <w:sz w:val="22"/>
              </w:rPr>
              <w:t>UV</w:t>
            </w:r>
            <w:r>
              <w:rPr>
                <w:rFonts w:ascii="仿宋_GB2312" w:hAnsi="仿宋_GB2312" w:cs="仿宋_GB2312" w:eastAsia="仿宋_GB2312"/>
                <w:sz w:val="22"/>
              </w:rPr>
              <w:t>工艺，色彩还原度高，不易褪色。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要求：须采用螺纹钢筋焊接预埋框架、</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120" w:after="120"/>
            </w:pPr>
            <w:r>
              <w:rPr>
                <w:rFonts w:ascii="仿宋_GB2312" w:hAnsi="仿宋_GB2312" w:cs="仿宋_GB2312" w:eastAsia="仿宋_GB2312"/>
                <w:sz w:val="30"/>
                <w:b/>
              </w:rPr>
              <w:t>（四）南郑区乡村旅游东环线三级导视（停车场标识指示牌）</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设置数量：共计</w:t>
            </w:r>
            <w:r>
              <w:rPr>
                <w:rFonts w:ascii="仿宋_GB2312" w:hAnsi="仿宋_GB2312" w:cs="仿宋_GB2312" w:eastAsia="仿宋_GB2312"/>
                <w:sz w:val="22"/>
              </w:rPr>
              <w:t>4</w:t>
            </w:r>
            <w:r>
              <w:rPr>
                <w:rFonts w:ascii="仿宋_GB2312" w:hAnsi="仿宋_GB2312" w:cs="仿宋_GB2312" w:eastAsia="仿宋_GB2312"/>
                <w:sz w:val="22"/>
              </w:rPr>
              <w:t>组，南郑区胡家营镇、圣水镇、湘水镇、法镇、牟家坝镇按实际需求合理分布。</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设计尺寸：宽度</w:t>
            </w:r>
            <w:r>
              <w:rPr>
                <w:rFonts w:ascii="仿宋_GB2312" w:hAnsi="仿宋_GB2312" w:cs="仿宋_GB2312" w:eastAsia="仿宋_GB2312"/>
                <w:sz w:val="22"/>
              </w:rPr>
              <w:t>≥</w:t>
            </w:r>
            <w:r>
              <w:rPr>
                <w:rFonts w:ascii="仿宋_GB2312" w:hAnsi="仿宋_GB2312" w:cs="仿宋_GB2312" w:eastAsia="仿宋_GB2312"/>
                <w:sz w:val="22"/>
              </w:rPr>
              <w:t>0.5M，高度</w:t>
            </w:r>
            <w:r>
              <w:rPr>
                <w:rFonts w:ascii="仿宋_GB2312" w:hAnsi="仿宋_GB2312" w:cs="仿宋_GB2312" w:eastAsia="仿宋_GB2312"/>
                <w:sz w:val="22"/>
              </w:rPr>
              <w:t>≥</w:t>
            </w:r>
            <w:r>
              <w:rPr>
                <w:rFonts w:ascii="仿宋_GB2312" w:hAnsi="仿宋_GB2312" w:cs="仿宋_GB2312" w:eastAsia="仿宋_GB2312"/>
                <w:sz w:val="22"/>
              </w:rPr>
              <w:t>2.5M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4</w:t>
            </w:r>
            <w:r>
              <w:rPr>
                <w:rFonts w:ascii="仿宋_GB2312" w:hAnsi="仿宋_GB2312" w:cs="仿宋_GB2312" w:eastAsia="仿宋_GB2312"/>
                <w:sz w:val="22"/>
              </w:rPr>
              <w:t>组样式统一，采用金属造型外框，设计风格契合南郑区乡村旅游文化特色，辨识度高，停车场标识、名称及方向指引信息标注清晰且准确无误，画面根据实际点位情况考虑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120" w:after="120"/>
            </w:pPr>
            <w:r>
              <w:rPr>
                <w:rFonts w:ascii="仿宋_GB2312" w:hAnsi="仿宋_GB2312" w:cs="仿宋_GB2312" w:eastAsia="仿宋_GB2312"/>
                <w:sz w:val="30"/>
                <w:b/>
              </w:rPr>
              <w:t>（五）南郑区乡村旅游东环线三级导视（卫生间标识指示牌）</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设置数量：共计</w:t>
            </w:r>
            <w:r>
              <w:rPr>
                <w:rFonts w:ascii="仿宋_GB2312" w:hAnsi="仿宋_GB2312" w:cs="仿宋_GB2312" w:eastAsia="仿宋_GB2312"/>
                <w:sz w:val="22"/>
              </w:rPr>
              <w:t>4</w:t>
            </w:r>
            <w:r>
              <w:rPr>
                <w:rFonts w:ascii="仿宋_GB2312" w:hAnsi="仿宋_GB2312" w:cs="仿宋_GB2312" w:eastAsia="仿宋_GB2312"/>
                <w:sz w:val="22"/>
              </w:rPr>
              <w:t>组，南郑区胡家营镇、圣水镇、湘水镇、法镇、牟家坝镇按实际需求合理分布。</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设计尺寸：宽度</w:t>
            </w:r>
            <w:r>
              <w:rPr>
                <w:rFonts w:ascii="仿宋_GB2312" w:hAnsi="仿宋_GB2312" w:cs="仿宋_GB2312" w:eastAsia="仿宋_GB2312"/>
                <w:sz w:val="22"/>
              </w:rPr>
              <w:t>≥</w:t>
            </w:r>
            <w:r>
              <w:rPr>
                <w:rFonts w:ascii="仿宋_GB2312" w:hAnsi="仿宋_GB2312" w:cs="仿宋_GB2312" w:eastAsia="仿宋_GB2312"/>
                <w:sz w:val="22"/>
              </w:rPr>
              <w:t>0.5M，高度</w:t>
            </w:r>
            <w:r>
              <w:rPr>
                <w:rFonts w:ascii="仿宋_GB2312" w:hAnsi="仿宋_GB2312" w:cs="仿宋_GB2312" w:eastAsia="仿宋_GB2312"/>
                <w:sz w:val="22"/>
              </w:rPr>
              <w:t>≥</w:t>
            </w:r>
            <w:r>
              <w:rPr>
                <w:rFonts w:ascii="仿宋_GB2312" w:hAnsi="仿宋_GB2312" w:cs="仿宋_GB2312" w:eastAsia="仿宋_GB2312"/>
                <w:sz w:val="22"/>
              </w:rPr>
              <w:t>2M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4</w:t>
            </w:r>
            <w:r>
              <w:rPr>
                <w:rFonts w:ascii="仿宋_GB2312" w:hAnsi="仿宋_GB2312" w:cs="仿宋_GB2312" w:eastAsia="仿宋_GB2312"/>
                <w:sz w:val="22"/>
              </w:rPr>
              <w:t>组样式统一，采用金属造型外框，设计风格契合南郑区乡村旅游文化特色，辨识度高，卫生间标识、名称及方向指引信息标注清晰且准确无误，画面根据实际点位情况考虑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120" w:after="120"/>
            </w:pPr>
            <w:r>
              <w:rPr>
                <w:rFonts w:ascii="仿宋_GB2312" w:hAnsi="仿宋_GB2312" w:cs="仿宋_GB2312" w:eastAsia="仿宋_GB2312"/>
                <w:sz w:val="30"/>
                <w:b/>
              </w:rPr>
              <w:t>（六）南郑区乡村旅游东环线三级导视（线路指引标识牌）</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设置数量：共计</w:t>
            </w:r>
            <w:r>
              <w:rPr>
                <w:rFonts w:ascii="仿宋_GB2312" w:hAnsi="仿宋_GB2312" w:cs="仿宋_GB2312" w:eastAsia="仿宋_GB2312"/>
                <w:sz w:val="22"/>
              </w:rPr>
              <w:t>9</w:t>
            </w:r>
            <w:r>
              <w:rPr>
                <w:rFonts w:ascii="仿宋_GB2312" w:hAnsi="仿宋_GB2312" w:cs="仿宋_GB2312" w:eastAsia="仿宋_GB2312"/>
                <w:sz w:val="22"/>
              </w:rPr>
              <w:t>组，南郑区胡家营镇、圣水镇、湘水镇、法镇、牟家坝镇按实际需求合理分布。</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设计尺寸：宽度</w:t>
            </w:r>
            <w:r>
              <w:rPr>
                <w:rFonts w:ascii="仿宋_GB2312" w:hAnsi="仿宋_GB2312" w:cs="仿宋_GB2312" w:eastAsia="仿宋_GB2312"/>
                <w:sz w:val="22"/>
              </w:rPr>
              <w:t>≥</w:t>
            </w:r>
            <w:r>
              <w:rPr>
                <w:rFonts w:ascii="仿宋_GB2312" w:hAnsi="仿宋_GB2312" w:cs="仿宋_GB2312" w:eastAsia="仿宋_GB2312"/>
                <w:sz w:val="22"/>
              </w:rPr>
              <w:t>0.5M，高度</w:t>
            </w:r>
            <w:r>
              <w:rPr>
                <w:rFonts w:ascii="仿宋_GB2312" w:hAnsi="仿宋_GB2312" w:cs="仿宋_GB2312" w:eastAsia="仿宋_GB2312"/>
                <w:sz w:val="22"/>
              </w:rPr>
              <w:t>≥</w:t>
            </w:r>
            <w:r>
              <w:rPr>
                <w:rFonts w:ascii="仿宋_GB2312" w:hAnsi="仿宋_GB2312" w:cs="仿宋_GB2312" w:eastAsia="仿宋_GB2312"/>
                <w:sz w:val="22"/>
              </w:rPr>
              <w:t>2.5M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9</w:t>
            </w:r>
            <w:r>
              <w:rPr>
                <w:rFonts w:ascii="仿宋_GB2312" w:hAnsi="仿宋_GB2312" w:cs="仿宋_GB2312" w:eastAsia="仿宋_GB2312"/>
                <w:sz w:val="22"/>
              </w:rPr>
              <w:t>组样式统一，采用金属造型外框，设计风格契合南郑区乡村旅游文化特色，辨识度高，线路名称及方向指引信息标注清晰且准确无误，画面根据实际点位情况考虑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（七）南郑区乡村旅游东环线三级导视（观景点标识指示牌）</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设置数量：共计</w:t>
            </w:r>
            <w:r>
              <w:rPr>
                <w:rFonts w:ascii="仿宋_GB2312" w:hAnsi="仿宋_GB2312" w:cs="仿宋_GB2312" w:eastAsia="仿宋_GB2312"/>
                <w:sz w:val="22"/>
              </w:rPr>
              <w:t>6</w:t>
            </w:r>
            <w:r>
              <w:rPr>
                <w:rFonts w:ascii="仿宋_GB2312" w:hAnsi="仿宋_GB2312" w:cs="仿宋_GB2312" w:eastAsia="仿宋_GB2312"/>
                <w:sz w:val="22"/>
              </w:rPr>
              <w:t>组，南郑区胡家营镇、圣水镇、湘水镇、法镇、牟家坝镇按实际需求合理分布。</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设计尺寸：宽度</w:t>
            </w:r>
            <w:r>
              <w:rPr>
                <w:rFonts w:ascii="仿宋_GB2312" w:hAnsi="仿宋_GB2312" w:cs="仿宋_GB2312" w:eastAsia="仿宋_GB2312"/>
                <w:sz w:val="22"/>
              </w:rPr>
              <w:t>≥</w:t>
            </w:r>
            <w:r>
              <w:rPr>
                <w:rFonts w:ascii="仿宋_GB2312" w:hAnsi="仿宋_GB2312" w:cs="仿宋_GB2312" w:eastAsia="仿宋_GB2312"/>
                <w:sz w:val="22"/>
              </w:rPr>
              <w:t>1.2M，高度</w:t>
            </w:r>
            <w:r>
              <w:rPr>
                <w:rFonts w:ascii="仿宋_GB2312" w:hAnsi="仿宋_GB2312" w:cs="仿宋_GB2312" w:eastAsia="仿宋_GB2312"/>
                <w:sz w:val="22"/>
              </w:rPr>
              <w:t>≥</w:t>
            </w:r>
            <w:r>
              <w:rPr>
                <w:rFonts w:ascii="仿宋_GB2312" w:hAnsi="仿宋_GB2312" w:cs="仿宋_GB2312" w:eastAsia="仿宋_GB2312"/>
                <w:sz w:val="22"/>
              </w:rPr>
              <w:t>3M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6</w:t>
            </w:r>
            <w:r>
              <w:rPr>
                <w:rFonts w:ascii="仿宋_GB2312" w:hAnsi="仿宋_GB2312" w:cs="仿宋_GB2312" w:eastAsia="仿宋_GB2312"/>
                <w:sz w:val="22"/>
              </w:rPr>
              <w:t>组样式统一，采用金属造型加方管立柱形式，设计风格契合南郑区乡村旅游文化特色，辨识度高，观景点名称及方向指引信息标注清晰且准确无误，画面根据实际点位情况考虑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120" w:after="120"/>
            </w:pPr>
            <w:r>
              <w:rPr>
                <w:rFonts w:ascii="仿宋_GB2312" w:hAnsi="仿宋_GB2312" w:cs="仿宋_GB2312" w:eastAsia="仿宋_GB2312"/>
                <w:sz w:val="30"/>
                <w:b/>
              </w:rPr>
              <w:t>（八）南郑区乡村旅游东环线四级导视（行为指示标识牌）</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w:t>
            </w:r>
            <w:r>
              <w:rPr>
                <w:rFonts w:ascii="仿宋_GB2312" w:hAnsi="仿宋_GB2312" w:cs="仿宋_GB2312" w:eastAsia="仿宋_GB2312"/>
                <w:sz w:val="22"/>
              </w:rPr>
              <w:t>设置数量：共计</w:t>
            </w:r>
            <w:r>
              <w:rPr>
                <w:rFonts w:ascii="仿宋_GB2312" w:hAnsi="仿宋_GB2312" w:cs="仿宋_GB2312" w:eastAsia="仿宋_GB2312"/>
                <w:sz w:val="22"/>
              </w:rPr>
              <w:t>11</w:t>
            </w:r>
            <w:r>
              <w:rPr>
                <w:rFonts w:ascii="仿宋_GB2312" w:hAnsi="仿宋_GB2312" w:cs="仿宋_GB2312" w:eastAsia="仿宋_GB2312"/>
                <w:sz w:val="22"/>
              </w:rPr>
              <w:t>组，南郑区胡家营镇、圣水镇、湘水镇、法镇、牟家坝镇按实际需求合理分布。</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w:t>
            </w:r>
            <w:r>
              <w:rPr>
                <w:rFonts w:ascii="仿宋_GB2312" w:hAnsi="仿宋_GB2312" w:cs="仿宋_GB2312" w:eastAsia="仿宋_GB2312"/>
                <w:sz w:val="22"/>
              </w:rPr>
              <w:t>设计尺寸：宽度</w:t>
            </w:r>
            <w:r>
              <w:rPr>
                <w:rFonts w:ascii="仿宋_GB2312" w:hAnsi="仿宋_GB2312" w:cs="仿宋_GB2312" w:eastAsia="仿宋_GB2312"/>
                <w:sz w:val="22"/>
              </w:rPr>
              <w:t>≥</w:t>
            </w:r>
            <w:r>
              <w:rPr>
                <w:rFonts w:ascii="仿宋_GB2312" w:hAnsi="仿宋_GB2312" w:cs="仿宋_GB2312" w:eastAsia="仿宋_GB2312"/>
                <w:sz w:val="22"/>
              </w:rPr>
              <w:t>0.3M，高度</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11</w:t>
            </w:r>
            <w:r>
              <w:rPr>
                <w:rFonts w:ascii="仿宋_GB2312" w:hAnsi="仿宋_GB2312" w:cs="仿宋_GB2312" w:eastAsia="仿宋_GB2312"/>
                <w:sz w:val="22"/>
              </w:rPr>
              <w:t>组样式统一，采用金属造型加方管立柱形式，设计风格契合南郑区乡村旅游文化特色，辨识度高，行为指示标识及内容信息标注清晰且准确无误，画面根据实际点位情况考虑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w:t>
            </w:r>
            <w:r>
              <w:rPr>
                <w:rFonts w:ascii="仿宋_GB2312" w:hAnsi="仿宋_GB2312" w:cs="仿宋_GB2312" w:eastAsia="仿宋_GB2312"/>
                <w:sz w:val="22"/>
              </w:rPr>
              <w:t>须采用悬挂、粘贴或螺丝进行固定安装，必须满足户外安装稳定性要求</w:t>
            </w:r>
            <w:r>
              <w:rPr>
                <w:rFonts w:ascii="仿宋_GB2312" w:hAnsi="仿宋_GB2312" w:cs="仿宋_GB2312" w:eastAsia="仿宋_GB2312"/>
                <w:sz w:val="22"/>
              </w:rPr>
              <w:t>。</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供应商需组建专业的服务团队，团队成员具备相应的设计、制作能力，能够确保服务质量与效率。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具有履行本项目所必需的专业设备和技术能力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乙方提供的景区驿站、旅游标识一体化设计、制作、安装全流程服务成果，严格遵循景区需求、文旅标识行业规范及双方确认设计方案；配套现场勘测、安装调试、现场清理等配套服务全部完成，标识设施外观完好、文字规范、安装稳固，配套技术资料完整交付。 验收方法：乙方完成全部服务工作后提交书面验收申请及全套服务资料，甲方 3 个工作日组织现场履约验收；存在瑕疵由乙方免费整改并重新验收，验收合格签署履约验收单，当日完成整体服务交付。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进度款，项目整体提交验收报告，采购人验收合格后，达到付款条件起5个工作日内，支付合同总金额的65.0%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进度款，项目实施完成后1年，质保合格，达到付款条件起5个工作日内，支付合同总金额的5.0%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乙方未按约定期限完成全部服务，每逾期一日按合同总价款万分之三支付违约金；服务成果多次整改仍不达标，甲方有权暂缓结算、解除合同并索赔。甲方逾期支付服务款项，按同期活期存款利率支付逾期利息。 争议解决：合同履行产生分歧优先友好协商；协商不成，提交项目所在地人民法院诉讼解决。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 (汉财办采管〔2024〕 20号)文件要求， 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 事业法人应提供事业单位法人证、组织机构代码证等证明文件， 其他组织应提供相应的合法证明文件，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非法定代表人参加的，须提供法定代表人委托授权书，法定代表人参加时,只须提供法定代表人身份证明。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 、具有依法缴纳税收和社会保障资金的良好记录， 参加本项目采购活动前三年内在经营活动中无重大违法活动记录， 未列入在信用中国网站 “失信被执行人 ” 、“重大税收违法案件当事人名单 ” 中(www.creditchina.gov.cn)， 未列入中国政府采购网 “政府采购严重违法失信行为记录名单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 供应商应为中小微企业， 须提供《中小企业声明函》并对真实性负责</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服务期限、服务地点</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磋商报价报价唯一，且不高于最高限价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法律法规和磋商文件规定的其他无效情形的</w:t>
            </w:r>
          </w:p>
        </w:tc>
        <w:tc>
          <w:tcPr>
            <w:tcW w:type="dxa" w:w="1661"/>
          </w:tcPr>
          <w:p>
            <w:pPr>
              <w:pStyle w:val="null3"/>
            </w:pPr>
            <w:r>
              <w:rPr>
                <w:rFonts w:ascii="仿宋_GB2312" w:hAnsi="仿宋_GB2312" w:cs="仿宋_GB2312" w:eastAsia="仿宋_GB2312"/>
              </w:rPr>
              <w:t>中小企业声明函 商务应答表 服务内容及服务要求应答表 报价表 项目实施方案.docx 响应文件封面 供应商应提交的相关资格证明材料.docx 残疾人福利性单位声明函 供应商认为需要提交的其他材料.docx 标的清单 对本项目的理解与重难点分析.docx 项目质量保障方案.docx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供应商提供2023年6月至今（以合同签订时间为准）完成的类似项目业绩， 须提供完整合同协议书复印件， 每提供一份得2.5分， 此项最高得5分；未提供或提供不完整不得分 。 注：类似业绩是指文旅交通类导视系统一体化服务项目（在磋商文件相应部分提供证明文件复印件并加盖供应商公章）。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供应商配齐服务团队，包含项目负责人、文旅设计师、现场勘测专员、现场安装负责人、竣工资料专员等人员组成， 所有人员须提供身份证正反面、毕业证书等相关复印件。 评分规则：每有一个岗位人员配置及证书资料符合要求得2.5分， 本项满分15分 ； 同一人员兼任多个岗位、持有多本证书的， 仅按一个岗位计分， 不重复加分； 岗位人员缺配或证书材料不符合要求的， 该岗位不予计分。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售后运维服务硬性承诺</w:t>
            </w:r>
          </w:p>
        </w:tc>
        <w:tc>
          <w:tcPr>
            <w:tcW w:type="dxa" w:w="2492"/>
          </w:tcPr>
          <w:p>
            <w:pPr>
              <w:pStyle w:val="null3"/>
            </w:pPr>
            <w:r>
              <w:rPr>
                <w:rFonts w:ascii="仿宋_GB2312" w:hAnsi="仿宋_GB2312" w:cs="仿宋_GB2312" w:eastAsia="仿宋_GB2312"/>
              </w:rPr>
              <w:t>1.基础承诺：服务成果整体免费维保1年（满足采购需求标准）得2分；承诺免费维保 1 年及以上得3分；维保期低于1年本项0分； 2.报修响应承诺：接到甲方运维通知24小时内上门处置，提供终身优惠成本运维服务，完善承诺得2分，未承诺不得分。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贴合本项目实际、针对性强、落地可行的提出专业合理化建议（可围绕点位勘测优化、环线导视布局优化、现场施工服务优化、后期运维管护、文旅标识长效运营任意维度），匹配南郑乡村旅游东环线导视系统服务需求，每提供1条得3分，本项目最多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采购需求技术服务条款响应</w:t>
            </w:r>
          </w:p>
        </w:tc>
        <w:tc>
          <w:tcPr>
            <w:tcW w:type="dxa" w:w="2492"/>
          </w:tcPr>
          <w:p>
            <w:pPr>
              <w:pStyle w:val="null3"/>
            </w:pPr>
            <w:r>
              <w:rPr>
                <w:rFonts w:ascii="仿宋_GB2312" w:hAnsi="仿宋_GB2312" w:cs="仿宋_GB2312" w:eastAsia="仿宋_GB2312"/>
              </w:rPr>
              <w:t>根据采购需求技术服务条款响应情况打分 1.完全满足采购服务要求的，得分10分；2.标记"▲"为重要参数，每负偏离一小项扣0.5分，最多扣8分；3.无标识参数为一般参数，每负偏离一项扣0.2分，最多扣2分。注：以服务内容及服务要求应答表为准。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安装所需设备投入</w:t>
            </w:r>
          </w:p>
        </w:tc>
        <w:tc>
          <w:tcPr>
            <w:tcW w:type="dxa" w:w="2492"/>
          </w:tcPr>
          <w:p>
            <w:pPr>
              <w:pStyle w:val="null3"/>
            </w:pPr>
            <w:r>
              <w:rPr>
                <w:rFonts w:ascii="仿宋_GB2312" w:hAnsi="仿宋_GB2312" w:cs="仿宋_GB2312" w:eastAsia="仿宋_GB2312"/>
              </w:rPr>
              <w:t>供应商按需配置自有运输车辆、户外施工配套工具、设计制图设备，每提供一份车辆行驶证或设备实拍佐证材料计 3 分，该项满分 9 分。注：若车辆、机具、设备所有权归属企业，佐证材料需提供载有企业名称页的复印件；若所有权归属自然人，须同步提交权属材料复印件及对应租赁合同复印件。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供应商提供的项目实施方案（①技术方案、②调查组织、③时间安排、④基础资料收集、⑤后勤保障措施），内容完整、符合项目实际情况得15分，每有一项缺项的扣3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项目质量保障方案</w:t>
            </w:r>
          </w:p>
        </w:tc>
        <w:tc>
          <w:tcPr>
            <w:tcW w:type="dxa" w:w="2492"/>
          </w:tcPr>
          <w:p>
            <w:pPr>
              <w:pStyle w:val="null3"/>
            </w:pPr>
            <w:r>
              <w:rPr>
                <w:rFonts w:ascii="仿宋_GB2312" w:hAnsi="仿宋_GB2312" w:cs="仿宋_GB2312" w:eastAsia="仿宋_GB2312"/>
              </w:rPr>
              <w:t>根据投标供应商提供的项目质量保障方案（①服务措施、②质量保障措施③安全保证措施），内容完整、符合项目实际情况得15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项目质量保障方案.docx</w:t>
            </w:r>
          </w:p>
        </w:tc>
      </w:tr>
      <w:tr>
        <w:tc>
          <w:tcPr>
            <w:tcW w:type="dxa" w:w="831"/>
            <w:vMerge/>
          </w:tcP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根据投标供应商对本项目的理解与重难点分析（①对项目的理解、认识及预期目标、②服务难点及解决方案），内容完整、符合项目实际情况得10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对本项目的理解与重难点分析.docx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供应商认为需要提交的其他材料.docx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 87 号）的有关规定 ： 价格分采用低价优先法计算，即满足磋商文件要求且投标价格最低的投标报价为评标基准价，其价格分为满分。其他供应商的价格分统一按照下列公式计算： 报价得分=（评标基准价/投标报价）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详见附件：项目质量保障方案.docx</w:t>
      </w:r>
    </w:p>
    <w:p>
      <w:pPr>
        <w:pStyle w:val="null3"/>
        <w:ind w:firstLine="960"/>
      </w:pPr>
      <w:r>
        <w:rPr>
          <w:rFonts w:ascii="仿宋_GB2312" w:hAnsi="仿宋_GB2312" w:cs="仿宋_GB2312" w:eastAsia="仿宋_GB2312"/>
        </w:rPr>
        <w:t>详见附件：对本项目的理解与重难点分析.docx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