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3EA9">
      <w:pPr>
        <w:pStyle w:val="2"/>
        <w:spacing w:before="0" w:after="0" w:line="360" w:lineRule="auto"/>
        <w:jc w:val="center"/>
        <w:rPr>
          <w:rFonts w:hint="eastAsia" w:ascii="宋体" w:hAnsi="宋体" w:eastAsia="宋体" w:cs="宋体"/>
          <w:sz w:val="28"/>
          <w:szCs w:val="28"/>
        </w:rPr>
      </w:pPr>
      <w:bookmarkStart w:id="6" w:name="_GoBack"/>
      <w:bookmarkEnd w:id="6"/>
      <w:r>
        <w:rPr>
          <w:rFonts w:hint="eastAsia" w:ascii="宋体" w:hAnsi="宋体" w:eastAsia="宋体" w:cs="宋体"/>
          <w:sz w:val="28"/>
          <w:szCs w:val="28"/>
        </w:rPr>
        <w:t>合同格式（仅供参考）</w:t>
      </w:r>
    </w:p>
    <w:p w14:paraId="53B4C72E">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（注：本合同作为合同的基本格式，甲方有权在签订合同时对合同的相关条款及内容作进一步细化和修改）</w:t>
      </w:r>
    </w:p>
    <w:p w14:paraId="70558B0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甲方（买方）：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签订地点：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394B35E">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乙方（卖方）：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签订时间：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D4D3ED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合同法》等有关法律法规规定，____________(采购人名称)(以下简称：“甲方”)通过______采购(采购方式)确定______(供应商名称)(以下简称：“乙方”)为______项目(项目名称)的______供应商。甲乙双方同意签署《______项目(项目名称)合同》(合同编号：______，以下简称：“合同”)。</w:t>
      </w:r>
    </w:p>
    <w:p w14:paraId="41A7B2A1">
      <w:pPr>
        <w:pStyle w:val="8"/>
        <w:spacing w:line="360" w:lineRule="auto"/>
        <w:ind w:firstLine="480" w:firstLineChars="200"/>
        <w:outlineLvl w:val="0"/>
        <w:rPr>
          <w:rFonts w:hint="eastAsia" w:ascii="宋体" w:hAnsi="宋体" w:eastAsia="宋体" w:cs="宋体"/>
          <w:color w:val="auto"/>
          <w:sz w:val="24"/>
          <w:szCs w:val="24"/>
        </w:rPr>
      </w:pPr>
      <w:bookmarkStart w:id="0" w:name="_Toc25605"/>
      <w:r>
        <w:rPr>
          <w:rFonts w:hint="eastAsia" w:ascii="宋体" w:hAnsi="宋体" w:eastAsia="宋体" w:cs="宋体"/>
          <w:color w:val="auto"/>
          <w:sz w:val="24"/>
          <w:szCs w:val="24"/>
        </w:rPr>
        <w:t>1.合同文件</w:t>
      </w:r>
      <w:bookmarkEnd w:id="0"/>
    </w:p>
    <w:p w14:paraId="32486AE3">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下列文件是构成本合同不可分割的部分：</w:t>
      </w:r>
    </w:p>
    <w:p w14:paraId="350B015D">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(1)合同条款；</w:t>
      </w:r>
    </w:p>
    <w:p w14:paraId="6F63191C">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(2)报价表；</w:t>
      </w:r>
    </w:p>
    <w:p w14:paraId="4F36421C">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(3)投标(响应)文件技术部分；</w:t>
      </w:r>
    </w:p>
    <w:p w14:paraId="6F4F3DEE">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(4)其他。</w:t>
      </w:r>
    </w:p>
    <w:p w14:paraId="1038104D">
      <w:pPr>
        <w:pStyle w:val="8"/>
        <w:spacing w:line="360" w:lineRule="auto"/>
        <w:ind w:firstLine="480" w:firstLineChars="200"/>
        <w:outlineLvl w:val="0"/>
        <w:rPr>
          <w:rFonts w:hint="eastAsia" w:ascii="宋体" w:hAnsi="宋体" w:eastAsia="宋体" w:cs="宋体"/>
          <w:color w:val="auto"/>
          <w:sz w:val="24"/>
          <w:szCs w:val="24"/>
        </w:rPr>
      </w:pPr>
      <w:bookmarkStart w:id="1" w:name="_Toc32270"/>
      <w:r>
        <w:rPr>
          <w:rFonts w:hint="eastAsia" w:ascii="宋体" w:hAnsi="宋体" w:eastAsia="宋体" w:cs="宋体"/>
          <w:color w:val="auto"/>
          <w:sz w:val="24"/>
          <w:szCs w:val="24"/>
        </w:rPr>
        <w:t>2. 合同价款及付款方式</w:t>
      </w:r>
      <w:bookmarkEnd w:id="1"/>
    </w:p>
    <w:p w14:paraId="187E07F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合同暂定价为￥      元（人民币大写：                 元）。</w:t>
      </w:r>
    </w:p>
    <w:p w14:paraId="71349DB8">
      <w:pPr>
        <w:pStyle w:val="8"/>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2.1 </w:t>
      </w:r>
      <w:r>
        <w:rPr>
          <w:rFonts w:hint="eastAsia" w:ascii="宋体" w:hAnsi="宋体" w:eastAsia="宋体" w:cs="宋体"/>
          <w:color w:val="auto"/>
          <w:sz w:val="24"/>
          <w:szCs w:val="24"/>
          <w:lang w:val="en-US" w:eastAsia="zh-CN"/>
        </w:rPr>
        <w:t>开工之日起</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日内，采购人向成交供应商支付合同总价格</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lang w:val="en-US" w:eastAsia="zh-CN"/>
        </w:rPr>
        <w:t>的工程款（开工时间以采购人签署的开工报告时间为准）</w:t>
      </w:r>
    </w:p>
    <w:p w14:paraId="74429D89">
      <w:pPr>
        <w:pStyle w:val="8"/>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待项目竣工完成，并经采购人组织的验收合格之日起</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日内，采购人向成交供应商支付至合同总价格的</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4563DCA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合同单价一次包死（最后结算以单价为基准，以实际工程量为基数核算总价），单价包含人工费、利润、税金等为完成本合同的一切费用，不受国家政策性调价或原材料价格变化及外汇汇率变化的影响，并作为最终结算的唯一依据。</w:t>
      </w:r>
    </w:p>
    <w:p w14:paraId="12F68EA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 每次付款前，乙方向甲方提供付款同等金额的国家正式发票。</w:t>
      </w:r>
    </w:p>
    <w:p w14:paraId="449BC1AF">
      <w:pPr>
        <w:pStyle w:val="8"/>
        <w:spacing w:line="360" w:lineRule="auto"/>
        <w:ind w:firstLine="480" w:firstLineChars="200"/>
        <w:outlineLvl w:val="1"/>
        <w:rPr>
          <w:rFonts w:hint="eastAsia" w:ascii="宋体" w:hAnsi="宋体" w:eastAsia="宋体" w:cs="宋体"/>
          <w:color w:val="auto"/>
          <w:sz w:val="24"/>
          <w:szCs w:val="24"/>
        </w:rPr>
      </w:pPr>
      <w:bookmarkStart w:id="2" w:name="_Toc19277"/>
      <w:r>
        <w:rPr>
          <w:rFonts w:hint="eastAsia" w:ascii="宋体" w:hAnsi="宋体" w:eastAsia="宋体" w:cs="宋体"/>
          <w:color w:val="auto"/>
          <w:sz w:val="24"/>
          <w:szCs w:val="24"/>
        </w:rPr>
        <w:t>二、工期</w:t>
      </w:r>
      <w:bookmarkEnd w:id="2"/>
    </w:p>
    <w:p w14:paraId="5671727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工期：合同签订后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历日内（磋商文件承诺时间），起始时间以甲方下发的施工任务单为准。若工期延误，乙方应自逾期之日起，按日向甲方支付合同总价款金额的百分之一的违约金。如延期超过5日，甲方有权单方解除本合同，并有权不予支付乙方工程款项。因不可抗拒力所导致的交货、服务及付款延迟等按照《中华人民共和国合同法》有关条文处理。</w:t>
      </w:r>
    </w:p>
    <w:p w14:paraId="64A442E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交货地点及验收：送货至甲方指定地点，安装调试至满足使用功能。乙方安装完成后，甲方应及时组织验收，实际工程量以验收确定的数量为准。</w:t>
      </w:r>
    </w:p>
    <w:p w14:paraId="74CA9EFB">
      <w:pPr>
        <w:pStyle w:val="8"/>
        <w:spacing w:line="360" w:lineRule="auto"/>
        <w:ind w:firstLine="480" w:firstLineChars="200"/>
        <w:outlineLvl w:val="1"/>
        <w:rPr>
          <w:rFonts w:hint="eastAsia" w:ascii="宋体" w:hAnsi="宋体" w:eastAsia="宋体" w:cs="宋体"/>
          <w:color w:val="auto"/>
          <w:sz w:val="24"/>
          <w:szCs w:val="24"/>
        </w:rPr>
      </w:pPr>
      <w:bookmarkStart w:id="3" w:name="_Toc24784"/>
      <w:r>
        <w:rPr>
          <w:rFonts w:hint="eastAsia" w:ascii="宋体" w:hAnsi="宋体" w:eastAsia="宋体" w:cs="宋体"/>
          <w:color w:val="auto"/>
          <w:sz w:val="24"/>
          <w:szCs w:val="24"/>
        </w:rPr>
        <w:t>三、保修条款</w:t>
      </w:r>
      <w:bookmarkEnd w:id="3"/>
    </w:p>
    <w:p w14:paraId="3466BC30">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质保期内出现质量问题，乙方在接到通知后24小时内到达现场并免费维修到位。</w:t>
      </w:r>
    </w:p>
    <w:p w14:paraId="6C6DCE17">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免费保修服务只对用户正常使用的产品和项目有效，一切人为损坏及以下条款均不在产品免费维修范围内。</w:t>
      </w:r>
    </w:p>
    <w:p w14:paraId="4E1E4AB9">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（1）由于人为破坏、交通事故破坏等。</w:t>
      </w:r>
    </w:p>
    <w:p w14:paraId="3AA5417D">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（2）除乙方外的人员进行非正常维修和改装。</w:t>
      </w:r>
    </w:p>
    <w:p w14:paraId="0833328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（3）超过质保有效期的产品和安装项目。</w:t>
      </w:r>
    </w:p>
    <w:p w14:paraId="0E2DE7A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（4）受不可抵御的自然灾害造成破坏的。</w:t>
      </w:r>
    </w:p>
    <w:p w14:paraId="7E08C31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质保期内出现上一条款原因造成的问题，以及质保期外的问题，由乙方按照《分项报价表》（详见附件1）中承诺的单价实施维保。维保时限暂定为质保期结束后两年内，两年后甲方与乙方续签维保合同，或者另行安排维保单位。</w:t>
      </w:r>
    </w:p>
    <w:p w14:paraId="5C952AC7">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乙方未在合同约定时间内进行维修，甲方可委托第三方进行维修，因此所产生的费用，由乙方承担，甲方可在支付乙方质保金、工程款时予以扣除。</w:t>
      </w:r>
    </w:p>
    <w:p w14:paraId="0215A37C">
      <w:pPr>
        <w:pStyle w:val="8"/>
        <w:spacing w:line="360" w:lineRule="auto"/>
        <w:ind w:firstLine="480" w:firstLineChars="200"/>
        <w:outlineLvl w:val="1"/>
        <w:rPr>
          <w:rFonts w:hint="eastAsia" w:ascii="宋体" w:hAnsi="宋体" w:eastAsia="宋体" w:cs="宋体"/>
          <w:color w:val="auto"/>
          <w:sz w:val="24"/>
          <w:szCs w:val="24"/>
        </w:rPr>
      </w:pPr>
      <w:bookmarkStart w:id="4" w:name="_Toc17180"/>
      <w:r>
        <w:rPr>
          <w:rFonts w:hint="eastAsia" w:ascii="宋体" w:hAnsi="宋体" w:eastAsia="宋体" w:cs="宋体"/>
          <w:color w:val="auto"/>
          <w:sz w:val="24"/>
          <w:szCs w:val="24"/>
        </w:rPr>
        <w:t>四、相关权利及义务</w:t>
      </w:r>
      <w:bookmarkEnd w:id="4"/>
    </w:p>
    <w:p w14:paraId="10FF0FC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甲方在乙方安装完成后，应及时组织验收，验收时可对不符合合同要求以及评标样本的设备或产品拒绝接收。对于拒绝接收的部分，乙方应在5日内予以更换，否则甲方有权拒绝支付工程款项。</w:t>
      </w:r>
    </w:p>
    <w:p w14:paraId="2250E718">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工程施工完成后，乙方向甲方提出书面验收申请，甲方收到乙方的申请后10日内组织验收，并在验收后5天内给予批准或提出修改意见。验收中要明确实际工程量。</w:t>
      </w:r>
    </w:p>
    <w:p w14:paraId="53D23A3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甲方有权对乙方所交付安装的设备产品质量进行监督，有权对工程质量进度进行监督。</w:t>
      </w:r>
    </w:p>
    <w:p w14:paraId="0E7B5FE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甲方有权监督乙方的售后服务，并对乙方的售后服务不符合合同要求时加以指出并追究合同责任。</w:t>
      </w:r>
    </w:p>
    <w:p w14:paraId="6FD52D41">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甲方在合同规定期限内履行付款责任。但因乙方存在违约行为的情况下，甲方有权暂停支付款项。</w:t>
      </w:r>
    </w:p>
    <w:p w14:paraId="1FE53BD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甲方在乙方进行安装调试时应给予协助和协调各方关系，乙方应及时提出需要甲方协助和协调的内容，以便保证合同的正常履行。</w:t>
      </w:r>
    </w:p>
    <w:p w14:paraId="542C412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甲方对乙方的技术及商业机密予以保密。</w:t>
      </w:r>
    </w:p>
    <w:p w14:paraId="0CD1FD5B">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乙方有权按照招标约定的中标单价及现场施工完成的工程量，要求甲方支付相应款项。</w:t>
      </w:r>
    </w:p>
    <w:p w14:paraId="37841A4F">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双方指定联系人，所有保修过程均应由双方经手人签字纪录。</w:t>
      </w:r>
    </w:p>
    <w:p w14:paraId="5F1331E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乙方应严格按照合同约定及招投标文件要求进行施工，自行负责施工期间的安全义务，并承担因安全责任造成的人身和财产损失赔偿责任。</w:t>
      </w:r>
    </w:p>
    <w:p w14:paraId="538B476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10、乙方应负责移交前的保管。</w:t>
      </w:r>
    </w:p>
    <w:p w14:paraId="61FE9C56">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11、乙方应在接到甲方的维修通知后，应在约定期限内派员进行维修到位。</w:t>
      </w:r>
    </w:p>
    <w:p w14:paraId="0D1B63F5">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甲方指定联系人：            联系电话：</w:t>
      </w:r>
    </w:p>
    <w:p w14:paraId="0C421A13">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乙方指定联系人：            联系电话：</w:t>
      </w:r>
    </w:p>
    <w:p w14:paraId="57738619">
      <w:pPr>
        <w:pStyle w:val="8"/>
        <w:spacing w:line="360" w:lineRule="auto"/>
        <w:ind w:firstLine="480" w:firstLineChars="200"/>
        <w:outlineLvl w:val="1"/>
        <w:rPr>
          <w:rFonts w:hint="eastAsia" w:ascii="宋体" w:hAnsi="宋体" w:eastAsia="宋体" w:cs="宋体"/>
          <w:color w:val="auto"/>
          <w:sz w:val="24"/>
          <w:szCs w:val="24"/>
        </w:rPr>
      </w:pPr>
      <w:bookmarkStart w:id="5" w:name="_Toc9002"/>
      <w:r>
        <w:rPr>
          <w:rFonts w:hint="eastAsia" w:ascii="宋体" w:hAnsi="宋体" w:eastAsia="宋体" w:cs="宋体"/>
          <w:color w:val="auto"/>
          <w:sz w:val="24"/>
          <w:szCs w:val="24"/>
        </w:rPr>
        <w:t>五、争议</w:t>
      </w:r>
      <w:bookmarkEnd w:id="5"/>
    </w:p>
    <w:p w14:paraId="203CEDBA">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双方本着友好合作的态度，对合同履行过程中发生的违约行为进行及时的协商解决，如不能协商解决，双方均可向甲方所在地法院起诉。</w:t>
      </w:r>
    </w:p>
    <w:p w14:paraId="3C413972">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本合同一式捌份，甲乙双方各执肆份； </w:t>
      </w:r>
    </w:p>
    <w:p w14:paraId="75AD22D4">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本合同自签订之日起生效；</w:t>
      </w:r>
    </w:p>
    <w:p w14:paraId="205F5FD9">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本项目的招标文件、投标文件、中标通知书是合同的附件，与合同具有同等的法律效力；</w:t>
      </w:r>
    </w:p>
    <w:p w14:paraId="2F57FA40">
      <w:pPr>
        <w:pStyle w:val="8"/>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其它未尽事宜，由双方友好协商解决，并参照《中华人民共和国合同法》有关条款执行。</w:t>
      </w:r>
    </w:p>
    <w:p w14:paraId="75F4C51F">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                                乙方：                                       </w:t>
      </w:r>
    </w:p>
    <w:p w14:paraId="49F3EE8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                          法定代表人:</w:t>
      </w:r>
    </w:p>
    <w:p w14:paraId="406AA34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                          委托代理人：</w:t>
      </w:r>
      <w:r>
        <w:rPr>
          <w:rFonts w:hint="eastAsia" w:ascii="宋体" w:hAnsi="宋体" w:eastAsia="宋体" w:cs="宋体"/>
          <w:color w:val="auto"/>
          <w:sz w:val="24"/>
          <w:szCs w:val="24"/>
        </w:rPr>
        <w:tab/>
      </w:r>
    </w:p>
    <w:p w14:paraId="640656D0">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经办人：                              经办人：</w:t>
      </w:r>
    </w:p>
    <w:p w14:paraId="78C18DA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                              电  话：</w:t>
      </w:r>
    </w:p>
    <w:p w14:paraId="0B04DA61">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地  址：                                       </w:t>
      </w:r>
    </w:p>
    <w:p w14:paraId="6235668D">
      <w:pPr>
        <w:pStyle w:val="8"/>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07625C8B">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帐  号：</w:t>
      </w:r>
    </w:p>
    <w:p w14:paraId="6E8D6FF3">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406977E2">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           日  期：   年   月   日</w:t>
      </w:r>
    </w:p>
    <w:sectPr>
      <w:headerReference r:id="rId3" w:type="default"/>
      <w:footerReference r:id="rId4" w:type="default"/>
      <w:pgSz w:w="11906" w:h="16838"/>
      <w:pgMar w:top="1134" w:right="1474" w:bottom="1134" w:left="1474" w:header="851" w:footer="73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3BF89">
    <w:pPr>
      <w:spacing w:line="171" w:lineRule="auto"/>
      <w:rPr>
        <w:rFonts w:ascii="Times New Roman" w:hAnsi="Times New Roman" w:eastAsia="Times New Roman" w:cs="Times New Roman"/>
        <w:sz w:val="15"/>
        <w:szCs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00737">
    <w:pPr>
      <w:pStyle w:val="10"/>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6B4D"/>
    <w:multiLevelType w:val="multilevel"/>
    <w:tmpl w:val="0C536B4D"/>
    <w:lvl w:ilvl="0" w:tentative="0">
      <w:start w:val="1"/>
      <w:numFmt w:val="decimal"/>
      <w:lvlText w:val="第 %1 章"/>
      <w:lvlJc w:val="left"/>
      <w:pPr>
        <w:tabs>
          <w:tab w:val="left" w:pos="0"/>
        </w:tabs>
        <w:ind w:left="432" w:hanging="432"/>
      </w:pPr>
      <w:rPr>
        <w:rFonts w:hint="eastAsia"/>
      </w:rPr>
    </w:lvl>
    <w:lvl w:ilvl="1" w:tentative="0">
      <w:start w:val="1"/>
      <w:numFmt w:val="decimal"/>
      <w:lvlText w:val="%1.%2"/>
      <w:lvlJc w:val="left"/>
      <w:pPr>
        <w:ind w:left="718" w:hanging="576"/>
      </w:pPr>
      <w:rPr>
        <w:rFonts w:hint="default" w:ascii="Times New Roman" w:hAnsi="Times New Roman"/>
        <w:b/>
        <w:i w:val="0"/>
        <w:sz w:val="24"/>
      </w:rPr>
    </w:lvl>
    <w:lvl w:ilvl="2" w:tentative="0">
      <w:start w:val="1"/>
      <w:numFmt w:val="decimal"/>
      <w:lvlText w:val="%1.%2.%3"/>
      <w:lvlJc w:val="left"/>
      <w:pPr>
        <w:tabs>
          <w:tab w:val="left" w:pos="0"/>
        </w:tabs>
        <w:ind w:left="720" w:hanging="720"/>
      </w:pPr>
      <w:rPr>
        <w:rFonts w:hint="eastAsia"/>
      </w:rPr>
    </w:lvl>
    <w:lvl w:ilvl="3" w:tentative="0">
      <w:start w:val="1"/>
      <w:numFmt w:val="decimal"/>
      <w:pStyle w:val="4"/>
      <w:lvlText w:val="%1.%2.%3.%4"/>
      <w:lvlJc w:val="left"/>
      <w:pPr>
        <w:ind w:left="864" w:hanging="864"/>
      </w:pPr>
      <w:rPr>
        <w:rFonts w:hint="default" w:ascii="Times New Roman" w:hAnsi="Times New Roman" w:cs="Times New Roman"/>
        <w:b/>
        <w:bCs w:val="0"/>
        <w:i w:val="0"/>
        <w:iCs w:val="0"/>
        <w:caps w:val="0"/>
        <w:smallCaps w:val="0"/>
        <w:strike w:val="0"/>
        <w:dstrike w:val="0"/>
        <w:vanish w:val="0"/>
        <w:color w:val="000000"/>
        <w:spacing w:val="0"/>
        <w:kern w:val="0"/>
        <w:position w:val="0"/>
        <w:sz w:val="24"/>
        <w:u w:val="none"/>
        <w:vertAlign w:val="baseline"/>
      </w:rPr>
    </w:lvl>
    <w:lvl w:ilvl="4" w:tentative="0">
      <w:start w:val="1"/>
      <w:numFmt w:val="decimal"/>
      <w:lvlText w:val="%1.%2.%3.%4.%5 "/>
      <w:lvlJc w:val="left"/>
      <w:pPr>
        <w:tabs>
          <w:tab w:val="left" w:pos="284"/>
        </w:tabs>
        <w:ind w:left="1292" w:hanging="1008"/>
      </w:pPr>
      <w:rPr>
        <w:rFonts w:hint="eastAsia"/>
      </w:rPr>
    </w:lvl>
    <w:lvl w:ilvl="5" w:tentative="0">
      <w:start w:val="1"/>
      <w:numFmt w:val="decimal"/>
      <w:lvlText w:val="%1.%2.%3.%4.%5.%6"/>
      <w:lvlJc w:val="left"/>
      <w:pPr>
        <w:tabs>
          <w:tab w:val="left" w:pos="0"/>
        </w:tabs>
        <w:ind w:left="1152" w:hanging="1152"/>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6" w:tentative="0">
      <w:start w:val="1"/>
      <w:numFmt w:val="decimal"/>
      <w:lvlText w:val="%7. "/>
      <w:lvlJc w:val="left"/>
      <w:pPr>
        <w:tabs>
          <w:tab w:val="left" w:pos="879"/>
        </w:tabs>
        <w:ind w:left="879" w:hanging="397"/>
      </w:pPr>
      <w:rPr>
        <w:rFonts w:hint="eastAsia"/>
      </w:rPr>
    </w:lvl>
    <w:lvl w:ilvl="7" w:tentative="0">
      <w:start w:val="1"/>
      <w:numFmt w:val="bullet"/>
      <w:lvlText w:val=""/>
      <w:lvlJc w:val="left"/>
      <w:pPr>
        <w:tabs>
          <w:tab w:val="left" w:pos="1281"/>
        </w:tabs>
        <w:ind w:left="1281" w:hanging="402"/>
      </w:pPr>
      <w:rPr>
        <w:rFonts w:hint="default" w:ascii="Symbol" w:hAnsi="Symbol"/>
        <w:color w:val="auto"/>
      </w:rPr>
    </w:lvl>
    <w:lvl w:ilvl="8" w:tentative="0">
      <w:start w:val="1"/>
      <w:numFmt w:val="decimal"/>
      <w:lvlText w:val="%1.%2.%3.%4.%5.%6.%7.%8.%9"/>
      <w:lvlJc w:val="left"/>
      <w:pPr>
        <w:tabs>
          <w:tab w:val="left" w:pos="0"/>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12B62D0"/>
    <w:rsid w:val="017A1B3F"/>
    <w:rsid w:val="01C0309B"/>
    <w:rsid w:val="01E21263"/>
    <w:rsid w:val="02E1151B"/>
    <w:rsid w:val="03DC1D72"/>
    <w:rsid w:val="03F67248"/>
    <w:rsid w:val="081859DF"/>
    <w:rsid w:val="0A2A37A7"/>
    <w:rsid w:val="0DB5782C"/>
    <w:rsid w:val="0E80498C"/>
    <w:rsid w:val="0FA6668E"/>
    <w:rsid w:val="109A0F5B"/>
    <w:rsid w:val="10AA5642"/>
    <w:rsid w:val="19313A0D"/>
    <w:rsid w:val="194C3802"/>
    <w:rsid w:val="19C01025"/>
    <w:rsid w:val="1A976C37"/>
    <w:rsid w:val="1F7532BF"/>
    <w:rsid w:val="1FF32ECF"/>
    <w:rsid w:val="206A07F2"/>
    <w:rsid w:val="20A91567"/>
    <w:rsid w:val="214E366E"/>
    <w:rsid w:val="27673E35"/>
    <w:rsid w:val="28AF339E"/>
    <w:rsid w:val="2B9B71F5"/>
    <w:rsid w:val="2BDC315C"/>
    <w:rsid w:val="2D216834"/>
    <w:rsid w:val="30395C43"/>
    <w:rsid w:val="339F04B3"/>
    <w:rsid w:val="34014CC9"/>
    <w:rsid w:val="355F439E"/>
    <w:rsid w:val="37160A8C"/>
    <w:rsid w:val="376E2676"/>
    <w:rsid w:val="385E6B8E"/>
    <w:rsid w:val="393972B4"/>
    <w:rsid w:val="39900FC9"/>
    <w:rsid w:val="39F50E2C"/>
    <w:rsid w:val="3C4A3743"/>
    <w:rsid w:val="3D262316"/>
    <w:rsid w:val="3DF833E6"/>
    <w:rsid w:val="40387CC5"/>
    <w:rsid w:val="43E066A9"/>
    <w:rsid w:val="44DD12F8"/>
    <w:rsid w:val="46F32B98"/>
    <w:rsid w:val="49C03205"/>
    <w:rsid w:val="4B0C4228"/>
    <w:rsid w:val="4BB26B7D"/>
    <w:rsid w:val="4C017B05"/>
    <w:rsid w:val="4DE60D60"/>
    <w:rsid w:val="502B514A"/>
    <w:rsid w:val="51D11D27"/>
    <w:rsid w:val="51E23E3F"/>
    <w:rsid w:val="52781672"/>
    <w:rsid w:val="550F5041"/>
    <w:rsid w:val="55147E09"/>
    <w:rsid w:val="56494582"/>
    <w:rsid w:val="56E46059"/>
    <w:rsid w:val="5714693E"/>
    <w:rsid w:val="5B3D3F8A"/>
    <w:rsid w:val="5D064F7B"/>
    <w:rsid w:val="5E4A533B"/>
    <w:rsid w:val="5F8959EF"/>
    <w:rsid w:val="61A45F46"/>
    <w:rsid w:val="62E62F4B"/>
    <w:rsid w:val="65A90B99"/>
    <w:rsid w:val="6683312C"/>
    <w:rsid w:val="678834BD"/>
    <w:rsid w:val="69FE33CB"/>
    <w:rsid w:val="6E2C680B"/>
    <w:rsid w:val="6F13110F"/>
    <w:rsid w:val="6FEE1FCA"/>
    <w:rsid w:val="701A2DBF"/>
    <w:rsid w:val="73012015"/>
    <w:rsid w:val="7656483B"/>
    <w:rsid w:val="7726078D"/>
    <w:rsid w:val="77CF26E1"/>
    <w:rsid w:val="77FE5D3C"/>
    <w:rsid w:val="78482494"/>
    <w:rsid w:val="7AF81F4F"/>
    <w:rsid w:val="7D1B3CD3"/>
    <w:rsid w:val="7D3B041C"/>
    <w:rsid w:val="7E161C15"/>
    <w:rsid w:val="7FEB5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9"/>
    <w:pPr>
      <w:keepNext/>
      <w:keepLines/>
      <w:spacing w:before="120" w:after="120" w:line="360" w:lineRule="auto"/>
      <w:outlineLvl w:val="0"/>
    </w:pPr>
    <w:rPr>
      <w:rFonts w:eastAsia="黑体"/>
      <w:bCs/>
      <w:kern w:val="44"/>
      <w:sz w:val="32"/>
      <w:szCs w:val="44"/>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numPr>
        <w:ilvl w:val="3"/>
        <w:numId w:val="1"/>
      </w:numPr>
      <w:tabs>
        <w:tab w:val="left" w:pos="0"/>
      </w:tabs>
      <w:spacing w:before="200" w:after="80" w:line="360" w:lineRule="auto"/>
      <w:outlineLvl w:val="3"/>
    </w:pPr>
    <w:rPr>
      <w:rFonts w:ascii="Times New Roman" w:hAnsi="Times New Roman" w:eastAsia="宋体" w:cs="Times New Roman"/>
      <w:b/>
      <w:iCs/>
      <w:sz w:val="24"/>
      <w:szCs w:val="24"/>
      <w:lang w:bidi="en-US"/>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24"/>
      <w:lang w:val="zh-CN" w:bidi="zh-CN"/>
    </w:rPr>
  </w:style>
  <w:style w:type="paragraph" w:styleId="6">
    <w:name w:val="Body Text Indent"/>
    <w:basedOn w:val="1"/>
    <w:next w:val="7"/>
    <w:qFormat/>
    <w:uiPriority w:val="0"/>
    <w:pPr>
      <w:ind w:firstLine="552"/>
    </w:pPr>
    <w:rPr>
      <w:rFonts w:ascii="宋体"/>
      <w:sz w:val="28"/>
    </w:rPr>
  </w:style>
  <w:style w:type="paragraph" w:customStyle="1" w:styleId="7">
    <w:name w:val="font5"/>
    <w:basedOn w:val="1"/>
    <w:autoRedefine/>
    <w:qFormat/>
    <w:uiPriority w:val="0"/>
    <w:pPr>
      <w:spacing w:before="100" w:beforeAutospacing="1" w:after="100" w:afterAutospacing="1"/>
    </w:pPr>
    <w:rPr>
      <w:rFonts w:hint="eastAsia" w:ascii="宋体" w:hAnsi="宋体"/>
      <w:sz w:val="24"/>
      <w:szCs w:val="24"/>
    </w:r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Body Text First Indent"/>
    <w:basedOn w:val="5"/>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1"/>
    <w:qFormat/>
    <w:uiPriority w:val="0"/>
    <w:pPr>
      <w:ind w:firstLine="420" w:firstLineChars="200"/>
    </w:pPr>
    <w:rPr>
      <w:rFonts w:ascii="Times New Roman" w:hAnsi="Times New Roman" w:cs="Times New Roman"/>
      <w:szCs w:val="20"/>
    </w:rPr>
  </w:style>
  <w:style w:type="paragraph" w:customStyle="1" w:styleId="15">
    <w:name w:val="一级条标题"/>
    <w:basedOn w:val="16"/>
    <w:next w:val="17"/>
    <w:autoRedefine/>
    <w:qFormat/>
    <w:uiPriority w:val="0"/>
    <w:pPr>
      <w:spacing w:line="240" w:lineRule="auto"/>
      <w:ind w:left="420"/>
      <w:outlineLvl w:val="2"/>
    </w:pPr>
  </w:style>
  <w:style w:type="paragraph" w:customStyle="1" w:styleId="16">
    <w:name w:val="章标题"/>
    <w:next w:val="1"/>
    <w:autoRedefine/>
    <w:qFormat/>
    <w:uiPriority w:val="0"/>
    <w:pPr>
      <w:spacing w:line="360" w:lineRule="auto"/>
      <w:jc w:val="center"/>
      <w:outlineLvl w:val="1"/>
    </w:pPr>
    <w:rPr>
      <w:rFonts w:ascii="黑体" w:hAnsi="黑体" w:eastAsia="宋体" w:cs="黑体"/>
      <w:b/>
      <w:sz w:val="32"/>
      <w:szCs w:val="21"/>
      <w:lang w:val="en-US" w:eastAsia="zh-CN" w:bidi="ar-SA"/>
    </w:rPr>
  </w:style>
  <w:style w:type="paragraph" w:customStyle="1" w:styleId="17">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黑体"/>
      <w:kern w:val="2"/>
      <w:sz w:val="21"/>
      <w:szCs w:val="22"/>
      <w:lang w:val="en-US" w:eastAsia="zh-CN" w:bidi="ar-SA"/>
    </w:rPr>
  </w:style>
  <w:style w:type="paragraph" w:customStyle="1" w:styleId="18">
    <w:name w:val="HTML 预设格式1"/>
    <w:basedOn w:val="1"/>
    <w:autoRedefine/>
    <w:qFormat/>
    <w:uiPriority w:val="0"/>
    <w:rPr>
      <w:rFonts w:ascii="Courier New" w:hAnsi="Courier New"/>
      <w:sz w:val="20"/>
    </w:rPr>
  </w:style>
  <w:style w:type="paragraph" w:styleId="19">
    <w:name w:val="List Paragraph"/>
    <w:basedOn w:val="1"/>
    <w:autoRedefine/>
    <w:qFormat/>
    <w:uiPriority w:val="34"/>
    <w:pPr>
      <w:ind w:firstLine="420" w:firstLineChars="200"/>
    </w:pPr>
    <w:rPr>
      <w:sz w:val="24"/>
    </w:rPr>
  </w:style>
  <w:style w:type="paragraph" w:customStyle="1" w:styleId="20">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1905</Words>
  <Characters>1970</Characters>
  <Lines>0</Lines>
  <Paragraphs>0</Paragraphs>
  <TotalTime>0</TotalTime>
  <ScaleCrop>false</ScaleCrop>
  <LinksUpToDate>false</LinksUpToDate>
  <CharactersWithSpaces>2499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2024-04-15T03:16:00Z</dcterms:created>
  <dc:creator>Administrator</dc:creator>
  <cp:lastModifiedBy>小鹿斑比</cp:lastModifiedBy>
  <dcterms:modified xsi:type="dcterms:W3CDTF">2026-05-20T14:55:46Z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5B8FAD32C76541C081F6E89A3DFEAD21_13</vt:lpwstr>
  </property>
  <property fmtid="{D5CDD505-2E9C-101B-9397-08002B2CF9AE}" pid="4" name="KSOTemplateDocerSaveRecord">
    <vt:lpwstr>eyJoZGlkIjoiNDVjM2YxYjY3MWM2OTQ2MzE0MWUzOWFmNTIzNTNlNjciLCJ1c2VySWQiOiIzNjY5ODEwNTAifQ==</vt:lpwstr>
  </property>
</Properties>
</file>