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版本号：YYZFCG竞争性磋商（2026）111号20260828001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榆阳区小纪汗镇可可盖中心小学校舍维修和活动场地软化工程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YYZFCG竞争性磋商（2026）111号</w:t>
      </w:r>
      <w:r>
        <w:br/>
      </w:r>
      <w:r>
        <w:br/>
      </w:r>
      <w:r>
        <w:br/>
      </w:r>
    </w:p>
    <w:p>
      <w:pPr>
        <w:pStyle w:val="null3"/>
        <w:jc w:val="center"/>
        <w:outlineLvl w:val="2"/>
      </w:pPr>
      <w:r>
        <w:rPr>
          <w:rFonts w:ascii="仿宋_GB2312" w:hAnsi="仿宋_GB2312" w:cs="仿宋_GB2312" w:eastAsia="仿宋_GB2312"/>
          <w:sz w:val="28"/>
          <w:b/>
        </w:rPr>
        <w:t>榆阳区小纪汗乡中心小学</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榆阳区小纪汗乡中心小学</w:t>
      </w:r>
      <w:r>
        <w:rPr>
          <w:rFonts w:ascii="仿宋_GB2312" w:hAnsi="仿宋_GB2312" w:cs="仿宋_GB2312" w:eastAsia="仿宋_GB2312"/>
        </w:rPr>
        <w:t>委托，拟对</w:t>
      </w:r>
      <w:r>
        <w:rPr>
          <w:rFonts w:ascii="仿宋_GB2312" w:hAnsi="仿宋_GB2312" w:cs="仿宋_GB2312" w:eastAsia="仿宋_GB2312"/>
        </w:rPr>
        <w:t>榆阳区小纪汗镇可可盖中心小学校舍维修和活动场地软化工程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YYZFCG竞争性磋商（2026）111号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榆阳区小纪汗镇可可盖中心小学校舍维修和活动场地软化工程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榆阳区小纪汗镇可可盖中心小学校舍维修和活动场地软化工程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采购包1（榆阳区小纪汗镇可可盖中心小学校舍维修和活动场地软化工程）：属于专门面向小微企业采购。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1、有效的主体资格：营业执照等主体资格证明文件。</w:t>
      </w:r>
    </w:p>
    <w:p>
      <w:pPr>
        <w:pStyle w:val="null3"/>
      </w:pPr>
      <w:r>
        <w:rPr>
          <w:rFonts w:ascii="仿宋_GB2312" w:hAnsi="仿宋_GB2312" w:cs="仿宋_GB2312" w:eastAsia="仿宋_GB2312"/>
        </w:rPr>
        <w:t>2、专项资质：本次资格要求投标供应商具备建筑工程施工总承包三级及以上资质，具备有效的安全生产许可证；投标人拟派项目负责人具备建筑工程二级注册建造师及以上执业资格，具备有效的安全生产考核合格证书（建安B证），未担任其他在建工程项目的项目经理且无不良记录（提供承诺格式自拟）。</w:t>
      </w:r>
    </w:p>
    <w:p>
      <w:pPr>
        <w:pStyle w:val="null3"/>
      </w:pPr>
      <w:r>
        <w:rPr>
          <w:rFonts w:ascii="仿宋_GB2312" w:hAnsi="仿宋_GB2312" w:cs="仿宋_GB2312" w:eastAsia="仿宋_GB2312"/>
        </w:rPr>
        <w:t>3、合法授权：法定代表人参加磋商的，提供《法定代表人（单位负责人）身份证明》或法人身份证扫描件；法定代表人授权他人参加磋商的，提供《法定代表人授权委托书》（格式自拟）。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榆阳区小纪汗乡中心小学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榆阳区小纪汗乡中心小学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榆阳区小纪汗乡中心小学经办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13636713477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榆林市榆阳区政务服务中心三楼325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采购包1：326,360.98元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榆阳区小纪汗乡中心小学</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榆阳区小纪汗乡中心小学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榆阳区小纪汗乡中心小学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按照国家相关法律法规执行。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联系人：李老师</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地址：榆林市榆阳区政务服务中心三楼325</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326,360.98</w:t>
      </w:r>
    </w:p>
    <w:p>
      <w:pPr>
        <w:pStyle w:val="null3"/>
      </w:pPr>
      <w:r>
        <w:rPr>
          <w:rFonts w:ascii="仿宋_GB2312" w:hAnsi="仿宋_GB2312" w:cs="仿宋_GB2312" w:eastAsia="仿宋_GB2312"/>
        </w:rPr>
        <w:t>采购包最高限价（元）: 326,360.98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榆阳区小纪汗镇可可盖中心小学校舍维修和活动场地软化工程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326,360.98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标的名称：榆阳区小纪汗镇可可盖中心小学校舍维修和活动场地软化工程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工程用料需符合要求、国家标准、行业标准。防水材料及软化材料质量需符合国家标准、行业标准。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drawing>
                <wp:inline distT="0" distR="0" distB="0" distL="0">
                  <wp:extent cx="1621155" cy="2151768"/>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151768"/>
                          </a:xfrm>
                          <a:prstGeom prst="rect">
                            <a:avLst/>
                          </a:prstGeom>
                        </pic:spPr>
                      </pic:pic>
                    </a:graphicData>
                  </a:graphic>
                </wp:inline>
              </w:drawing>
            </w:r>
            <w:r>
              <w:drawing>
                <wp:inline distT="0" distR="0" distB="0" distL="0">
                  <wp:extent cx="1621155" cy="191128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911287"/>
                          </a:xfrm>
                          <a:prstGeom prst="rect">
                            <a:avLst/>
                          </a:prstGeom>
                        </pic:spPr>
                      </pic:pic>
                    </a:graphicData>
                  </a:graphic>
                </wp:inline>
              </w:drawing>
            </w:r>
            <w:r>
              <w:drawing>
                <wp:inline distT="0" distR="0" distB="0" distL="0">
                  <wp:extent cx="1621155" cy="2302337"/>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2302337"/>
                          </a:xfrm>
                          <a:prstGeom prst="rect">
                            <a:avLst/>
                          </a:prstGeom>
                        </pic:spPr>
                      </pic:pic>
                    </a:graphicData>
                  </a:graphic>
                </wp:inline>
              </w:drawing>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按照国家相关法律法规执行。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按照国家相关法律法规执行。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w:t>
            </w:r>
          </w:p>
        </w:tc>
        <w:tc>
          <w:tcPr>
            <w:tcW w:type="dxa" w:w="3322"/>
          </w:tcPr>
          <w:p>
            <w:pPr>
              <w:pStyle w:val="null3"/>
            </w:pPr>
            <w:r>
              <w:rPr>
                <w:rFonts w:ascii="仿宋_GB2312" w:hAnsi="仿宋_GB2312" w:cs="仿宋_GB2312" w:eastAsia="仿宋_GB2312"/>
              </w:rPr>
              <w:t>营业执照等主体资格证明文件。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专项资质</w:t>
            </w:r>
          </w:p>
        </w:tc>
        <w:tc>
          <w:tcPr>
            <w:tcW w:type="dxa" w:w="3322"/>
          </w:tcPr>
          <w:p>
            <w:pPr>
              <w:pStyle w:val="null3"/>
            </w:pPr>
            <w:r>
              <w:rPr>
                <w:rFonts w:ascii="仿宋_GB2312" w:hAnsi="仿宋_GB2312" w:cs="仿宋_GB2312" w:eastAsia="仿宋_GB2312"/>
              </w:rPr>
              <w:t>本次资格要求投标供应商具备建筑工程施工总承包三级及以上资质，具备有效的安全生产许可证；投标人拟派项目负责人具备建筑工程二级注册建造师及以上执业资格，具备有效的安全生产考核合格证书（建安B证），未担任其他在建工程项目的项目经理且无不良记录（提供承诺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法定代表人参加磋商的，提供《法定代表人（单位负责人）身份证明》或法人身份证扫描件；法定代表人授权他人参加磋商的，提供《法定代表人授权委托书》（格式自拟）。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完整、合理、详细的改造施工方案，方案需包含：（1）施工方案及施工工艺；（2）确保文明施工、环境保护的组织措施；（3）确保安全生产的技术组织措施；（4）确保工程质量的技术组织措施；（5）施工进度表或施工网络图；（6）工期保障措施（对工期的技术组织措施及施工进度计划措施，需包括施工进度表或施工网络图做出详细、具体的说明）。 二、评审标准 1、方案须全面、完整，对评审内容中的各项要求有详细描述； 2、方案能够紧扣本项目实际情况，针对本项目内容编写； 3、方案切合本项目实际情况，提出步骤清晰、合理的方案。 三、赋分依据 ①施工方案及施工工艺：每完全满足一个评审标准得1分，基本满足一个评审标准得0.5分，不满足一个评审标准得0分，满分3分； ②确保文明施工、环境保护的组织措施：每完全满足一个评审标准得1分，基本满足一个评审标准得0.5分，不满足一个评审标准得0分，满分3分； ③确保安全生产的技术组织措施：每完全满足一个评审标准得 2分，基本满足一个评审标准得1.5分，不满足一个评审标准得0分，满分6分； ④确保工程质量的技术组织措施：每完全满足一个评审标准得 2分，基本满足一个评审标准得1.5分，不满足一个评审标准得0分，满分6分； ⑤施工进度表或施工网络图：完全满足评审标准得1分，基本满足评审标准得0.5分，不满足评审标准得0分，满分3分。 ⑥工期保障措施：每完全满足一个评审标准得1分，基本满足一个评审标准得0.5分，不满足一个评审标准得0分，满分3分。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供应商针对本项目有完善的资源配置计划，内容需包含：①劳动力资源配置②施工机械设备投入计划③主要施工材料供应计划等，保障本项目顺利实施。 二、评审标准 1、方案须全面、完整，对评审内容中的各项要求有详细描述； 2、方案能够紧扣本项目实际情况，针对本项目内容编写。 三、赋分依据 ①劳动力资源配置：每完全满足一个评审标准得2分，满分4分； ②施工机械设备投入计划：每完全满足一个评审标准得2.5分，满分5分； ③主要施工材料供应计划：每完全满足一个评审标准得2.5分，满分5分。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拟派本项目人员</w:t>
            </w:r>
          </w:p>
        </w:tc>
        <w:tc>
          <w:tcPr>
            <w:tcW w:type="dxa" w:w="2492"/>
          </w:tcPr>
          <w:p>
            <w:pPr>
              <w:pStyle w:val="null3"/>
            </w:pPr>
            <w:r>
              <w:rPr>
                <w:rFonts w:ascii="仿宋_GB2312" w:hAnsi="仿宋_GB2312" w:cs="仿宋_GB2312" w:eastAsia="仿宋_GB2312"/>
              </w:rPr>
              <w:t>一、评审内容 投标人针对本项目提供的人员及保障方案，方案包含：①人员职责明确、分工清晰；②岗位职责制度及考核办法；③人员经验丰富。 二、评审标准 1、方案须全面、完整，对评审内容中的各项要求有详细描述； 2、方案能够紧扣本项目实际情况，针对本项目内容编写。 三、赋分依据 ①人员职责明确、分工清晰：每完全满足一个评审标准得2.5分，满分5分； ②岗位职责制度及考核办法：每完全满足一个评审标准得2分，满分4分； ③人员经验丰富：每完全满足一个评审标准得1分，满分2分；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结合本项目实际情况，提供服务承诺，服务承诺包括①有良好的承诺和执行合同的能力；②施工承诺（供应商为保证工程质量所做的承诺及配套服务（包括但不限于具体的服务内容、响应时间、响应方式、响应计划等））；③ 改造所用材料和产品的质量承诺；④人员及时到位的承诺；⑤根据采购人意见及时调整人员及服务方案的承诺。 二、评审标准 1、方案须全面、完整，对评审内容中的各项要求有详细描述； 2、方案能够紧扣本项目实际情况，针对本项目内容编写。 三、赋分依据 ①有良好的承诺和执行合同的能力：每完全满足一个评审标准得1分，满分2分； ②施工承诺：每完全满足一个评审标准得1分，满分2分； ③改造所用材料和产品的质量承诺：每完全满足一个评审标准得1分，满分2分； ④人员及时到位的承诺：每完全满足一个评审标准得1分，满分2分。 ⑤根据采购人意见及时调整人员及服务方案的承诺：每完全满足一个评审标准得 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针对实际需求，在保证完成本项目的基础上，对降低工程造价或缩短施工周期提供实质性承诺，任意提供一条得2分，满分2分，不提供不得分。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针对本项目可能出现的问题及重大故障（包括但不限于因施工造成的水、电、通信的中断抢修、恶劣天气、人为因素等情况） 二、评审标准 1、方案须全面、完整，对评审内容中的各项要求有详细描述； 2、方案能够紧扣本项目实际情况，针对本项目内容编写。 三、赋分依据 针对本项目可能出现的问题及重大故障：每完全满足一个评审标准得2分，满分4分；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投标人2023年1月1日至投标截止之日，具有类似业绩合同，每提供1份得2.5分，最高得5分。 注：提供加盖公章合同扫描件，否则不得分。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实质性满足磋商文件要求且最终报价进行计算： 最后报价（30分）：满足磋商文件要求且报价合理最低的供应商的价格为基准价，其价格为满分。 其他供应商的价格分按照下列公式计算： 磋商报价得分=（基准价/最后报价）×30 磋商小组发现某一供应商的最后报价明显低于其他供应商的最终报价，使得其报价可能低于其成本的，应当要求该供应商在30分钟内作出书面说明并提供相应的证明材料。供应商在有效时间内不能合理说明或者不能提供相应证明材料的，由磋商小组认定该供应商以低于成本报价竞标，其供应商的最后报价不予认可，作无效响应处理视为自动放弃，基准价以次低价为准。 本项目专门面向小微企业采购，不执行价格评审优惠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详见附件：可可盖中心小学房屋漏水维修及操场软化施工合同.docx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