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D9C59">
      <w:pPr>
        <w:pStyle w:val="6"/>
        <w:spacing w:line="360" w:lineRule="auto"/>
        <w:jc w:val="left"/>
        <w:rPr>
          <w:rFonts w:hint="eastAsia" w:ascii="宋体" w:hAnsi="宋体" w:eastAsia="宋体" w:cs="宋体"/>
          <w:b/>
          <w:color w:val="0000FF"/>
          <w:sz w:val="21"/>
          <w:highlight w:val="none"/>
        </w:rPr>
      </w:pPr>
      <w:r>
        <w:rPr>
          <w:rFonts w:hint="eastAsia" w:ascii="宋体" w:hAnsi="宋体" w:eastAsia="宋体" w:cs="宋体"/>
          <w:b/>
          <w:color w:val="0000FF"/>
          <w:sz w:val="21"/>
          <w:highlight w:val="none"/>
        </w:rPr>
        <w:t>一、项目概况</w:t>
      </w:r>
    </w:p>
    <w:p w14:paraId="3EAAEB7B">
      <w:pPr>
        <w:pStyle w:val="6"/>
        <w:spacing w:line="360" w:lineRule="auto"/>
        <w:ind w:firstLine="410" w:firstLineChars="200"/>
        <w:jc w:val="both"/>
        <w:rPr>
          <w:rFonts w:hint="eastAsia" w:ascii="宋体" w:hAnsi="宋体" w:cs="宋体"/>
          <w:b w:val="0"/>
          <w:bCs w:val="0"/>
          <w:color w:val="0000FF"/>
          <w:spacing w:val="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0000FF"/>
          <w:spacing w:val="2"/>
          <w:highlight w:val="none"/>
          <w:lang w:val="en-US" w:eastAsia="zh-CN"/>
        </w:rPr>
        <w:t>1本项目采购标的名称：</w:t>
      </w:r>
      <w:r>
        <w:rPr>
          <w:rFonts w:hint="eastAsia" w:ascii="宋体" w:hAnsi="宋体" w:cs="宋体"/>
          <w:b w:val="0"/>
          <w:bCs w:val="0"/>
          <w:color w:val="0000FF"/>
          <w:spacing w:val="2"/>
          <w:highlight w:val="none"/>
          <w:lang w:val="en-US" w:eastAsia="zh-CN"/>
        </w:rPr>
        <w:t>西安浐灞国际港第四次全国农业普查外包服务。</w:t>
      </w:r>
      <w:r>
        <w:rPr>
          <w:rFonts w:hint="eastAsia" w:ascii="宋体" w:hAnsi="宋体" w:cs="宋体"/>
          <w:b/>
          <w:bCs/>
          <w:color w:val="0000FF"/>
          <w:spacing w:val="2"/>
          <w:highlight w:val="none"/>
          <w:lang w:val="en-US" w:eastAsia="zh-CN"/>
        </w:rPr>
        <w:t>本项目所属行业：租赁和商务服务业。</w:t>
      </w:r>
    </w:p>
    <w:p w14:paraId="6916A0E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120" w:beforeLines="50" w:after="120" w:afterLines="50" w:line="360" w:lineRule="auto"/>
        <w:textAlignment w:val="auto"/>
        <w:rPr>
          <w:rFonts w:hint="eastAsia" w:ascii="宋体" w:hAnsi="宋体" w:eastAsia="宋体" w:cs="宋体"/>
          <w:b/>
          <w:color w:val="0000FF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0000FF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/>
          <w:color w:val="0000FF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/>
          <w:color w:val="0000FF"/>
          <w:sz w:val="28"/>
          <w:szCs w:val="28"/>
          <w:highlight w:val="none"/>
        </w:rPr>
        <w:t>服务</w:t>
      </w:r>
      <w:r>
        <w:rPr>
          <w:rFonts w:hint="eastAsia" w:ascii="宋体" w:hAnsi="宋体" w:eastAsia="宋体" w:cs="宋体"/>
          <w:b/>
          <w:color w:val="0000FF"/>
          <w:sz w:val="28"/>
          <w:szCs w:val="28"/>
          <w:highlight w:val="none"/>
          <w:lang w:eastAsia="zh-CN"/>
        </w:rPr>
        <w:t>内容及要求</w:t>
      </w:r>
    </w:p>
    <w:p w14:paraId="1D2DB642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1、工作范围：</w:t>
      </w:r>
    </w:p>
    <w:p w14:paraId="17EC91A6">
      <w:pPr>
        <w:pStyle w:val="6"/>
        <w:spacing w:line="360" w:lineRule="auto"/>
        <w:ind w:firstLine="400" w:firstLineChars="200"/>
        <w:jc w:val="left"/>
        <w:rPr>
          <w:rFonts w:hint="eastAsia" w:ascii="宋体" w:hAnsi="宋体" w:eastAsia="宋体" w:cs="宋体"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本次普查主要是对新筑，新合辖区内农村住户（含农村户籍住户、农业经营户和其他住户）、农业生产经营单位、村民委员会、街道办事处进行全面普查。普查行业范围包括农作物种植业、林业、畜牧业、渔业和农林牧渔服务业生产情况。普查登记内容为农业生产条件、农业生产经营活动、农业土地利用、农村居民生活、农村劳动力及就业、乡村建设、乡村治理情况等。</w:t>
      </w:r>
    </w:p>
    <w:p w14:paraId="45CFF879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2、服务内容：</w:t>
      </w:r>
    </w:p>
    <w:p w14:paraId="09004EFC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2.1普查数据采集技术指导服务：</w:t>
      </w:r>
    </w:p>
    <w:p w14:paraId="09F0F332">
      <w:pPr>
        <w:pStyle w:val="6"/>
        <w:spacing w:line="360" w:lineRule="auto"/>
        <w:ind w:firstLine="400" w:firstLineChars="200"/>
        <w:jc w:val="left"/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全程负责辖区农业普查数据采集全流程技术支撑工作，严格依据国家、省市普查方案及技术规范，制定本地化数据采集技术细则。针对普查入户登记、数据填报、移动端操作、指标解读、特殊情况处置等工作，对全区普查指导员、普查员开展常态化技术指导。及时解答基层普查工作中遇到的技术难题，排查数据采集过程中的操作漏洞、填报错误，规范数据采集流程，统一填报标准，保障全域普查数据采集工作标准化、规范化推进。同时跟进普查各阶段技术更新要求，同步调整技术指导方案，确保技术服务与上级普查工作要求完全同步。</w:t>
      </w:r>
    </w:p>
    <w:p w14:paraId="0990E1B8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2.2普查工作人员专项培训服务：</w:t>
      </w:r>
    </w:p>
    <w:p w14:paraId="7B032DFC">
      <w:pPr>
        <w:pStyle w:val="6"/>
        <w:spacing w:line="360" w:lineRule="auto"/>
        <w:ind w:firstLine="400" w:firstLineChars="200"/>
        <w:jc w:val="left"/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根据第四次全国农业普查各阶段工作任务，制定分层、分类、分阶段专项培训计划，组织开展全覆盖普查业务培训。培训对象包含区普查办专职工作人员、各街办普查工作人员、全体普查指导员、普查员。培训内容涵盖普查法律法规、普查实施方案、普查指标释义、底册使用规范、入户调查技巧、数据填报标准、数据审核方法、质量控制要求、普查安全规范、应急处置流程等核心内容。每次培训需提前准备培训课件、培训资料，组织现场授课、实操演练、答疑考核，留存培训签到表、培训照片、考核记录等全套佐证资料，确保所有参训人员熟练掌握普查工作技能，考核合格后方可上岗开展普查工作。</w:t>
      </w:r>
    </w:p>
    <w:p w14:paraId="505D437C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2.3专项</w:t>
      </w:r>
      <w:r>
        <w:rPr>
          <w:rFonts w:hint="eastAsia" w:ascii="宋体" w:hAnsi="宋体" w:cs="宋体"/>
          <w:b/>
          <w:bCs/>
          <w:color w:val="0000FF"/>
          <w:sz w:val="20"/>
          <w:szCs w:val="20"/>
          <w:highlight w:val="none"/>
          <w:lang w:val="en-US" w:eastAsia="zh-CN"/>
        </w:rPr>
        <w:t>定点</w:t>
      </w: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辅助服务：</w:t>
      </w:r>
    </w:p>
    <w:p w14:paraId="5D4140CC">
      <w:pPr>
        <w:pStyle w:val="6"/>
        <w:spacing w:line="360" w:lineRule="auto"/>
        <w:ind w:firstLine="400" w:firstLineChars="200"/>
        <w:jc w:val="left"/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安排专职人员驻区普查定点办公，全程协助区普查办开展日常统筹协调、工作对接、资料整理、进度督办、信息报送等工作。配合区、街办专职普查人员完成普查工作部署、任务分解、进度统计、问题汇总、整改落实等日常工作。负责对接上级普查部门，及时传达工作通知、上报工作进展，梳理汇总各街道普查工作问题，建立工作台账，跟踪闭环整改。全程服从采购人及区普查办统一管理、统一调度，保障日常普查工作高效运转。</w:t>
      </w:r>
    </w:p>
    <w:p w14:paraId="7437F78E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2.4普查宣传及物资保障服务</w:t>
      </w:r>
    </w:p>
    <w:p w14:paraId="5ED0C8E6">
      <w:pPr>
        <w:pStyle w:val="6"/>
        <w:spacing w:line="360" w:lineRule="auto"/>
        <w:ind w:firstLine="400" w:firstLineChars="200"/>
        <w:jc w:val="left"/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结合辖区普查工作实际，制定常态化普查宣传工作计划，围绕农业普查重要意义、普查法律法规、普查工作要求、群众配合义务等内容，开展多形式、全覆盖普查宣传工作。可通过村组公告、海报张贴、线下宣讲、新媒体推送、入户宣传等方式，提升群众知晓率、配合度，营造良好普查工作氛围。同时根据普查工作各阶段需求，按照勤俭节约、合规适用的原则，负责普查工作所需各类物资的统计、采买、登记、发放、管理工作，建立物资台账，确保物资按需分配、规范使用，保障普查工作顺利开展。</w:t>
      </w:r>
    </w:p>
    <w:p w14:paraId="121DD059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2.</w:t>
      </w:r>
      <w:r>
        <w:rPr>
          <w:rFonts w:hint="eastAsia" w:ascii="宋体" w:hAnsi="宋体" w:cs="宋体"/>
          <w:b/>
          <w:bCs/>
          <w:color w:val="0000FF"/>
          <w:sz w:val="20"/>
          <w:szCs w:val="20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清查摸底及普查底册编制服务</w:t>
      </w:r>
    </w:p>
    <w:p w14:paraId="16C340A7">
      <w:pPr>
        <w:pStyle w:val="6"/>
        <w:spacing w:line="360" w:lineRule="auto"/>
        <w:ind w:firstLine="400" w:firstLineChars="200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严格按照上级普查摸底工作标准，协助开展辖区涉农住户、农业经营单位、村级组织等普查对象的全面清查摸底工作。逐街、逐村、逐户排查核实普查对象信息，梳理核查空户、迁移户、新增经营主体等特殊情况，精准界定普查范围。根据清查摸底结果，规范整理基础信息，编制完整、准确、规范的辖区农业普查底册，建立普查对象台账，做好底册动态更新、核对校准工作，为后续入户登记、数据采集工作奠定精准的数据基础。</w:t>
      </w:r>
    </w:p>
    <w:p w14:paraId="04C20502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2.</w:t>
      </w:r>
      <w:r>
        <w:rPr>
          <w:rFonts w:hint="eastAsia" w:ascii="宋体" w:hAnsi="宋体" w:cs="宋体"/>
          <w:b/>
          <w:bCs/>
          <w:color w:val="0000FF"/>
          <w:sz w:val="20"/>
          <w:szCs w:val="20"/>
          <w:highlight w:val="none"/>
          <w:lang w:val="en-US" w:eastAsia="zh-CN"/>
        </w:rPr>
        <w:t>6普查数据审核、汇总及质量管控服务</w:t>
      </w:r>
    </w:p>
    <w:p w14:paraId="3E0F6E05">
      <w:pPr>
        <w:pStyle w:val="6"/>
        <w:spacing w:line="360" w:lineRule="auto"/>
        <w:ind w:firstLine="400" w:firstLineChars="200"/>
        <w:jc w:val="left"/>
        <w:rPr>
          <w:rFonts w:hint="eastAsia" w:ascii="宋体" w:hAnsi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承担辖区普查数据的初步审核、复核、纠错、汇总、上报等全流程工作。严格对照普查指标规范、逻辑校验规则，对入户采集的原始数据进行逐笔、逐项审核，排查数据漏填、错填、逻辑矛盾、信息失真等问题，及时反馈基层普查人员整改复核。分阶段统计汇总全域普查数据，生成阶段性数据报表、工作总结、进度分析报告。建立数据质量管控体系，落实数据自查、互查、抽查机制，全程把控普查数据质量，确保普查数据真实、准确、完整、合规，顺利通过各级数据质量核查与验收。</w:t>
      </w:r>
    </w:p>
    <w:p w14:paraId="28A5F07F">
      <w:pPr>
        <w:pStyle w:val="6"/>
        <w:numPr>
          <w:ilvl w:val="0"/>
          <w:numId w:val="0"/>
        </w:numPr>
        <w:spacing w:line="360" w:lineRule="auto"/>
        <w:ind w:firstLine="402" w:firstLineChars="200"/>
        <w:jc w:val="left"/>
        <w:rPr>
          <w:rFonts w:hint="eastAsia" w:ascii="宋体" w:hAnsi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2.</w:t>
      </w:r>
      <w:r>
        <w:rPr>
          <w:rFonts w:hint="eastAsia" w:ascii="宋体" w:hAnsi="宋体" w:cs="宋体"/>
          <w:b/>
          <w:bCs/>
          <w:color w:val="0000FF"/>
          <w:sz w:val="20"/>
          <w:szCs w:val="20"/>
          <w:highlight w:val="none"/>
          <w:lang w:val="en-US" w:eastAsia="zh-CN"/>
        </w:rPr>
        <w:t>7普查数据整理及档案归档服务</w:t>
      </w:r>
    </w:p>
    <w:p w14:paraId="0242528A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color w:val="0000FF"/>
          <w:sz w:val="20"/>
          <w:szCs w:val="20"/>
          <w:highlight w:val="none"/>
          <w:lang w:val="en-US" w:eastAsia="zh-CN"/>
        </w:rPr>
        <w:t>在普查工作各阶段收尾及整体工作结束后，全面梳理汇总普查工作全过程资料，包括工作计划、培训资料、宣传材料、摸底底册、原始登记表、审核记录、数据报表、普查数据台账等。按照统计档案管理规范，对各类纸质、电子资料进行分类整理、整编、归档、备份，建立完整的普查工作档案体系，确保档案资料齐全、规范、可追溯，顺利通过各级普查验收，并按要求完成档案移交留存工作，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确保成果完整、规范、符合要求，提交时间不得逾期。</w:t>
      </w:r>
    </w:p>
    <w:p w14:paraId="1ABDEF0A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①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普查表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类：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以行政村为单位，进行普查表数据的汇总和整理，电子版1份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。</w:t>
      </w:r>
    </w:p>
    <w:p w14:paraId="0BB74567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②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普查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台账类：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按村整理普查指标数据台账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，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按上级工作要求及时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提交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电子版1份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。</w:t>
      </w:r>
    </w:p>
    <w:p w14:paraId="01BF11C2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③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汇总表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类：按阶段提交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普查数据汇总表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。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服务结束后，及时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提交项目整体工作</w:t>
      </w: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汇总成果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，纸质版1份+电子版1份。</w:t>
      </w:r>
    </w:p>
    <w:p w14:paraId="2F2B126F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④培训类：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按工作要求及时开展培训工作，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培训结束后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个工作日内提交签到表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等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培训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相关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资料纸质版1份+电子版1份。</w:t>
      </w:r>
    </w:p>
    <w:p w14:paraId="1A8BC0B9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highlight w:val="none"/>
          <w:lang w:val="en-US" w:eastAsia="zh-CN"/>
        </w:rPr>
        <w:t>3、保密要求：</w:t>
      </w:r>
    </w:p>
    <w:p w14:paraId="06A4D179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①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采购人所有项目相关信息、专有财产信息、工作秘密、普查涉密数据、企业及群众隐私信息等，未经采购人书面正式同意，供应商不得向任何第三方泄露、传播、复制、使用。供应商承诺所有涉密信息仅用于本项目履约工作，仅限本项目在岗工作人员知悉，所有涉密人员须签订保密协议。项目终止后，供应商须将全部涉密资料、数据原件及副本返还采购人，或在采购人监督下彻底销毁；</w:t>
      </w:r>
    </w:p>
    <w:p w14:paraId="4813ABC2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②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供应商在项目履约过程中形成的全部工作成果、普查数据、台账资料、分析报告、档案资料等均为涉密信息，供应商仅可用于本项目履约，未经采购人书面许可，不得向任何第三方披露、转让、用于商业用途或其他非项目用途；</w:t>
      </w:r>
    </w:p>
    <w:p w14:paraId="4F5E12A4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③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供应商须建立完善保密管理制度，采取加密存储、专人管理、权限管控等一切必要措施，严防涉密信息泄露、丢失、篡改。若供应商发生涉密信息泄露行为，须向采购人承担全部赔偿责任，赔偿范围包括但不限于；</w:t>
      </w:r>
    </w:p>
    <w:p w14:paraId="65C39965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供应商因泄密所获得的全部收益；</w:t>
      </w:r>
    </w:p>
    <w:p w14:paraId="254C758C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采购人因泄密造成的经济损失、工作损失、声誉损失及收益减少；</w:t>
      </w:r>
    </w:p>
    <w:p w14:paraId="524834E9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采购人为追究供应商违约责任、维权所产生的全部律师费、诉讼费、保全费、差旅费等法律及维权费用；</w:t>
      </w:r>
    </w:p>
    <w:p w14:paraId="771C2584">
      <w:pP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r>
        <w:rPr>
          <w:rFonts w:hint="eastAsia" w:ascii="宋体" w:hAnsi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4.</w:t>
      </w: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  <w:t>因泄密产生的第三方索赔、行政处罚等全部费用及损失。</w:t>
      </w:r>
    </w:p>
    <w:p w14:paraId="6B18EFBE">
      <w:pPr>
        <w:pStyle w:val="6"/>
        <w:spacing w:line="360" w:lineRule="auto"/>
        <w:outlineLvl w:val="2"/>
        <w:rPr>
          <w:highlight w:val="none"/>
        </w:rPr>
      </w:pPr>
      <w:r>
        <w:rPr>
          <w:b/>
          <w:sz w:val="28"/>
          <w:highlight w:val="none"/>
        </w:rPr>
        <w:t>3.2.3人员配置要求</w:t>
      </w:r>
    </w:p>
    <w:p w14:paraId="27812DBB">
      <w:pPr>
        <w:pStyle w:val="6"/>
        <w:spacing w:line="360" w:lineRule="auto"/>
        <w:rPr>
          <w:color w:val="0000FF"/>
          <w:highlight w:val="none"/>
        </w:rPr>
      </w:pPr>
      <w:r>
        <w:rPr>
          <w:color w:val="0000FF"/>
          <w:highlight w:val="none"/>
        </w:rPr>
        <w:t>采购包1：</w:t>
      </w:r>
    </w:p>
    <w:p w14:paraId="0B1E3C06">
      <w:pPr>
        <w:pStyle w:val="6"/>
        <w:spacing w:line="360" w:lineRule="auto"/>
        <w:ind w:firstLine="400" w:firstLineChars="200"/>
        <w:rPr>
          <w:rFonts w:hint="eastAsia" w:eastAsia="宋体" w:cs="宋体"/>
          <w:color w:val="0000FF"/>
          <w:highlight w:val="none"/>
          <w:lang w:val="en-US" w:eastAsia="zh-CN"/>
        </w:rPr>
      </w:pPr>
      <w:r>
        <w:rPr>
          <w:rFonts w:hint="eastAsia" w:eastAsia="宋体" w:cs="宋体"/>
          <w:color w:val="0000FF"/>
          <w:highlight w:val="none"/>
          <w:lang w:val="en-US" w:eastAsia="zh-CN"/>
        </w:rPr>
        <w:t>1.组建整体的工作团队，其中</w:t>
      </w:r>
      <w:r>
        <w:rPr>
          <w:rFonts w:hint="eastAsia" w:cs="宋体"/>
          <w:color w:val="0000FF"/>
          <w:highlight w:val="none"/>
          <w:lang w:val="en-US" w:eastAsia="zh-CN"/>
        </w:rPr>
        <w:t>定点</w:t>
      </w:r>
      <w:r>
        <w:rPr>
          <w:rFonts w:hint="eastAsia" w:eastAsia="宋体" w:cs="宋体"/>
          <w:color w:val="0000FF"/>
          <w:highlight w:val="none"/>
          <w:lang w:val="en-US" w:eastAsia="zh-CN"/>
        </w:rPr>
        <w:t>服务人员数量不低于5人，其他相关人员根据各阶段普查工作量要求配备，所有人员服从</w:t>
      </w:r>
      <w:r>
        <w:rPr>
          <w:rFonts w:hint="eastAsia" w:cs="宋体"/>
          <w:color w:val="0000FF"/>
          <w:highlight w:val="none"/>
          <w:lang w:val="en-US" w:eastAsia="zh-CN"/>
        </w:rPr>
        <w:t>采购人</w:t>
      </w:r>
      <w:r>
        <w:rPr>
          <w:rFonts w:hint="eastAsia" w:eastAsia="宋体" w:cs="宋体"/>
          <w:color w:val="0000FF"/>
          <w:highlight w:val="none"/>
          <w:lang w:val="en-US" w:eastAsia="zh-CN"/>
        </w:rPr>
        <w:t>的管理。</w:t>
      </w:r>
    </w:p>
    <w:p w14:paraId="25938B3B">
      <w:pPr>
        <w:pStyle w:val="6"/>
        <w:spacing w:line="360" w:lineRule="auto"/>
        <w:ind w:firstLine="400" w:firstLineChars="200"/>
        <w:rPr>
          <w:rFonts w:hint="eastAsia" w:eastAsia="宋体" w:cs="宋体"/>
          <w:color w:val="0000FF"/>
          <w:highlight w:val="none"/>
          <w:lang w:val="en-US" w:eastAsia="zh-CN"/>
        </w:rPr>
      </w:pPr>
      <w:r>
        <w:rPr>
          <w:rFonts w:hint="eastAsia" w:cs="宋体"/>
          <w:color w:val="0000FF"/>
          <w:highlight w:val="none"/>
          <w:lang w:val="en-US" w:eastAsia="zh-CN"/>
        </w:rPr>
        <w:t>2.</w:t>
      </w:r>
      <w:r>
        <w:rPr>
          <w:rFonts w:hint="eastAsia" w:eastAsia="宋体" w:cs="宋体"/>
          <w:color w:val="0000FF"/>
          <w:highlight w:val="none"/>
          <w:lang w:val="en-US" w:eastAsia="zh-CN"/>
        </w:rPr>
        <w:t>.服务人员管理制度健全，管理得当。制定工作计划和工作总结制度。</w:t>
      </w:r>
    </w:p>
    <w:p w14:paraId="2B2FF400">
      <w:pPr>
        <w:pStyle w:val="6"/>
        <w:spacing w:line="360" w:lineRule="auto"/>
        <w:ind w:firstLine="400" w:firstLineChars="200"/>
        <w:rPr>
          <w:rFonts w:hint="eastAsia" w:eastAsia="宋体" w:cs="宋体"/>
          <w:color w:val="0000FF"/>
          <w:highlight w:val="none"/>
          <w:lang w:val="en-US" w:eastAsia="zh-CN"/>
        </w:rPr>
      </w:pPr>
      <w:r>
        <w:rPr>
          <w:rFonts w:hint="eastAsia" w:cs="宋体"/>
          <w:color w:val="0000FF"/>
          <w:highlight w:val="none"/>
          <w:lang w:val="en-US" w:eastAsia="zh-CN"/>
        </w:rPr>
        <w:t>3</w:t>
      </w:r>
      <w:r>
        <w:rPr>
          <w:rFonts w:hint="eastAsia" w:eastAsia="宋体" w:cs="宋体"/>
          <w:color w:val="0000FF"/>
          <w:highlight w:val="none"/>
          <w:lang w:val="en-US" w:eastAsia="zh-CN"/>
        </w:rPr>
        <w:t>.严格按照</w:t>
      </w:r>
      <w:r>
        <w:rPr>
          <w:rFonts w:hint="eastAsia" w:cs="宋体"/>
          <w:color w:val="0000FF"/>
          <w:highlight w:val="none"/>
          <w:lang w:val="en-US" w:eastAsia="zh-CN"/>
        </w:rPr>
        <w:t>采购</w:t>
      </w:r>
      <w:r>
        <w:rPr>
          <w:rFonts w:hint="eastAsia" w:eastAsia="宋体" w:cs="宋体"/>
          <w:color w:val="0000FF"/>
          <w:highlight w:val="none"/>
          <w:lang w:val="en-US" w:eastAsia="zh-CN"/>
        </w:rPr>
        <w:t>人要求开展工作，工作要有记录要有佐证。</w:t>
      </w:r>
    </w:p>
    <w:p w14:paraId="5D564F11">
      <w:pPr>
        <w:pStyle w:val="6"/>
        <w:spacing w:line="360" w:lineRule="auto"/>
        <w:ind w:firstLine="400" w:firstLineChars="200"/>
        <w:rPr>
          <w:rFonts w:hint="eastAsia" w:eastAsia="宋体" w:cs="宋体"/>
          <w:color w:val="0000FF"/>
          <w:highlight w:val="none"/>
          <w:lang w:val="en-US" w:eastAsia="zh-CN"/>
        </w:rPr>
      </w:pPr>
      <w:r>
        <w:rPr>
          <w:rFonts w:hint="eastAsia" w:cs="宋体"/>
          <w:color w:val="0000FF"/>
          <w:highlight w:val="none"/>
          <w:lang w:val="en-US" w:eastAsia="zh-CN"/>
        </w:rPr>
        <w:t>4</w:t>
      </w:r>
      <w:r>
        <w:rPr>
          <w:rFonts w:hint="eastAsia" w:eastAsia="宋体" w:cs="宋体"/>
          <w:color w:val="0000FF"/>
          <w:highlight w:val="none"/>
          <w:lang w:val="en-US" w:eastAsia="zh-CN"/>
        </w:rPr>
        <w:t>.及时处理</w:t>
      </w:r>
      <w:r>
        <w:rPr>
          <w:rFonts w:hint="eastAsia" w:cs="宋体"/>
          <w:color w:val="0000FF"/>
          <w:highlight w:val="none"/>
          <w:lang w:val="en-US" w:eastAsia="zh-CN"/>
        </w:rPr>
        <w:t>采购</w:t>
      </w:r>
      <w:r>
        <w:rPr>
          <w:rFonts w:hint="eastAsia" w:eastAsia="宋体" w:cs="宋体"/>
          <w:color w:val="0000FF"/>
          <w:highlight w:val="none"/>
          <w:lang w:val="en-US" w:eastAsia="zh-CN"/>
        </w:rPr>
        <w:t>人反馈或交办的问题。</w:t>
      </w:r>
    </w:p>
    <w:p w14:paraId="0678209A">
      <w:pPr>
        <w:pStyle w:val="6"/>
        <w:spacing w:line="360" w:lineRule="auto"/>
        <w:outlineLvl w:val="2"/>
        <w:rPr>
          <w:highlight w:val="none"/>
        </w:rPr>
      </w:pPr>
      <w:r>
        <w:rPr>
          <w:b/>
          <w:sz w:val="28"/>
          <w:highlight w:val="none"/>
        </w:rPr>
        <w:t>3.2.4设施设备要求</w:t>
      </w:r>
    </w:p>
    <w:p w14:paraId="1E54C75C">
      <w:pPr>
        <w:pStyle w:val="6"/>
        <w:spacing w:line="360" w:lineRule="auto"/>
        <w:rPr>
          <w:rFonts w:hint="eastAsia" w:eastAsia="宋体" w:cs="宋体"/>
          <w:color w:val="0000FF"/>
          <w:highlight w:val="none"/>
          <w:lang w:val="en-US" w:eastAsia="zh-CN"/>
        </w:rPr>
      </w:pPr>
      <w:r>
        <w:rPr>
          <w:color w:val="0000FF"/>
          <w:highlight w:val="none"/>
        </w:rPr>
        <w:t>采购包1：</w:t>
      </w:r>
    </w:p>
    <w:p w14:paraId="1F309411">
      <w:pPr>
        <w:pStyle w:val="6"/>
        <w:spacing w:line="360" w:lineRule="auto"/>
        <w:ind w:firstLine="367"/>
        <w:jc w:val="left"/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zh-CN"/>
        </w:rPr>
        <w:t>设备配置满足本项目需求，包括但不限于配备执行项目所需的办公设备、软硬件设备，网络设备、打印复印设备等。</w:t>
      </w:r>
    </w:p>
    <w:p w14:paraId="1B2572AA">
      <w:pPr>
        <w:pStyle w:val="6"/>
        <w:spacing w:line="360" w:lineRule="auto"/>
        <w:outlineLvl w:val="2"/>
        <w:rPr>
          <w:highlight w:val="none"/>
        </w:rPr>
      </w:pPr>
      <w:r>
        <w:rPr>
          <w:b/>
          <w:sz w:val="28"/>
          <w:highlight w:val="none"/>
        </w:rPr>
        <w:t>3.2.5其他要求</w:t>
      </w:r>
    </w:p>
    <w:p w14:paraId="5F5836A4">
      <w:pPr>
        <w:pStyle w:val="6"/>
        <w:spacing w:line="360" w:lineRule="auto"/>
        <w:rPr>
          <w:rFonts w:hint="eastAsia"/>
          <w:b/>
          <w:bCs/>
          <w:color w:val="0000FF"/>
          <w:highlight w:val="none"/>
          <w:lang w:val="en-US" w:eastAsia="zh-CN"/>
        </w:rPr>
      </w:pPr>
      <w:r>
        <w:rPr>
          <w:color w:val="0000FF"/>
          <w:highlight w:val="none"/>
        </w:rPr>
        <w:t>采购包1：</w:t>
      </w:r>
      <w:r>
        <w:rPr>
          <w:rFonts w:hint="eastAsia"/>
          <w:b/>
          <w:bCs/>
          <w:color w:val="0000FF"/>
          <w:highlight w:val="none"/>
          <w:lang w:val="en-US" w:eastAsia="zh-CN"/>
        </w:rPr>
        <w:t>/</w:t>
      </w:r>
    </w:p>
    <w:p w14:paraId="04CD613C">
      <w:pPr>
        <w:pStyle w:val="6"/>
        <w:spacing w:line="360" w:lineRule="auto"/>
        <w:outlineLvl w:val="2"/>
        <w:rPr>
          <w:highlight w:val="none"/>
        </w:rPr>
      </w:pPr>
      <w:r>
        <w:rPr>
          <w:b/>
          <w:sz w:val="28"/>
          <w:highlight w:val="none"/>
        </w:rPr>
        <w:t>3.3商务要求</w:t>
      </w:r>
    </w:p>
    <w:p w14:paraId="37D4974D">
      <w:pPr>
        <w:pStyle w:val="6"/>
        <w:spacing w:line="360" w:lineRule="auto"/>
        <w:outlineLvl w:val="3"/>
        <w:rPr>
          <w:highlight w:val="none"/>
        </w:rPr>
      </w:pPr>
      <w:r>
        <w:rPr>
          <w:b/>
          <w:sz w:val="24"/>
          <w:highlight w:val="none"/>
        </w:rPr>
        <w:t>3.3.1服务期限</w:t>
      </w:r>
    </w:p>
    <w:p w14:paraId="53846BA1">
      <w:pPr>
        <w:pStyle w:val="6"/>
        <w:spacing w:line="360" w:lineRule="auto"/>
        <w:rPr>
          <w:b/>
          <w:bCs/>
          <w:color w:val="0000FF"/>
          <w:highlight w:val="none"/>
        </w:rPr>
      </w:pPr>
      <w:r>
        <w:rPr>
          <w:b/>
          <w:bCs/>
          <w:color w:val="0000FF"/>
          <w:highlight w:val="none"/>
        </w:rPr>
        <w:t>采购包1：</w:t>
      </w:r>
    </w:p>
    <w:p w14:paraId="065717B7">
      <w:pPr>
        <w:pStyle w:val="6"/>
        <w:spacing w:line="360" w:lineRule="auto"/>
        <w:rPr>
          <w:rFonts w:hint="eastAsia" w:eastAsia="宋体"/>
          <w:b w:val="0"/>
          <w:bCs w:val="0"/>
          <w:color w:val="0000FF"/>
          <w:highlight w:val="none"/>
          <w:lang w:eastAsia="zh-CN"/>
        </w:rPr>
      </w:pPr>
      <w:r>
        <w:rPr>
          <w:rFonts w:hint="eastAsia"/>
          <w:b w:val="0"/>
          <w:bCs w:val="0"/>
          <w:color w:val="0000FF"/>
          <w:highlight w:val="none"/>
          <w:lang w:eastAsia="zh-CN"/>
        </w:rPr>
        <w:t>自合同签订之日起一年。</w:t>
      </w:r>
    </w:p>
    <w:p w14:paraId="2BA14641">
      <w:pPr>
        <w:pStyle w:val="6"/>
        <w:spacing w:line="360" w:lineRule="auto"/>
        <w:outlineLvl w:val="3"/>
        <w:rPr>
          <w:highlight w:val="none"/>
        </w:rPr>
      </w:pPr>
      <w:r>
        <w:rPr>
          <w:b/>
          <w:sz w:val="24"/>
          <w:highlight w:val="none"/>
        </w:rPr>
        <w:t>3.3.2服务地点</w:t>
      </w:r>
    </w:p>
    <w:p w14:paraId="108AE345">
      <w:pPr>
        <w:pStyle w:val="6"/>
        <w:spacing w:line="360" w:lineRule="auto"/>
        <w:rPr>
          <w:color w:val="0000FF"/>
          <w:highlight w:val="none"/>
        </w:rPr>
      </w:pPr>
      <w:r>
        <w:rPr>
          <w:color w:val="0000FF"/>
          <w:highlight w:val="none"/>
        </w:rPr>
        <w:t>采购包1：</w:t>
      </w:r>
    </w:p>
    <w:p w14:paraId="26C1020E">
      <w:pPr>
        <w:pStyle w:val="6"/>
        <w:spacing w:line="360" w:lineRule="auto"/>
        <w:rPr>
          <w:color w:val="0000FF"/>
          <w:highlight w:val="none"/>
        </w:rPr>
      </w:pPr>
      <w:r>
        <w:rPr>
          <w:rFonts w:hint="eastAsia"/>
          <w:color w:val="0000FF"/>
          <w:highlight w:val="none"/>
        </w:rPr>
        <w:t>西安浐灞国际港</w:t>
      </w:r>
      <w:r>
        <w:rPr>
          <w:color w:val="0000FF"/>
          <w:highlight w:val="none"/>
        </w:rPr>
        <w:t>。</w:t>
      </w:r>
    </w:p>
    <w:p w14:paraId="0B2D8B15">
      <w:pPr>
        <w:rPr>
          <w:rFonts w:hint="eastAsia" w:ascii="宋体" w:hAnsi="宋体" w:eastAsia="宋体" w:cs="宋体"/>
          <w:b w:val="0"/>
          <w:bCs w:val="0"/>
          <w:color w:val="0000FF"/>
          <w:sz w:val="20"/>
          <w:szCs w:val="20"/>
          <w:highlight w:val="none"/>
          <w:lang w:val="en-US" w:eastAsia="en-U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F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3"/>
    <w:qFormat/>
    <w:uiPriority w:val="0"/>
    <w:pPr>
      <w:keepNext/>
      <w:keepLines/>
      <w:spacing w:before="260" w:after="260" w:line="500" w:lineRule="exact"/>
      <w:outlineLvl w:val="1"/>
    </w:pPr>
    <w:rPr>
      <w:rFonts w:ascii="Arial" w:hAnsi="Arial" w:eastAsia="黑体"/>
      <w:b/>
      <w:sz w:val="36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customStyle="1" w:styleId="6">
    <w:name w:val="null3"/>
    <w:autoRedefine/>
    <w:qFormat/>
    <w:uiPriority w:val="0"/>
    <w:rPr>
      <w:rFonts w:hint="eastAsia" w:ascii="Calibri" w:hAnsi="Calibri" w:eastAsia="宋体" w:cs="宋体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2026-08-12T01:46:07Z</dcterms:created>
  <dc:creator>Administrator</dc:creator>
  <cp:lastModifiedBy>豆本豆</cp:lastModifiedBy>
  <dcterms:modified xsi:type="dcterms:W3CDTF">2026-08-12T01:46:50Z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eyJoZGlkIjoiZTc2YjNkNzAxY2E2NTE3ZmY0YmZiYzc2NDBhZGQxZGMiLCJ1c2VySWQiOiI4MTA3MzA2NDAifQ==</vt:lpwstr>
  </property>
  <property fmtid="{D5CDD505-2E9C-101B-9397-08002B2CF9AE}" pid="4" name="ICV">
    <vt:lpwstr>9FBDE666472D4C09AF834353233AFA88_12</vt:lpwstr>
  </property>
</Properties>
</file>