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78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686"/>
        <w:gridCol w:w="4211"/>
        <w:gridCol w:w="1478"/>
        <w:gridCol w:w="1500"/>
      </w:tblGrid>
      <w:tr w14:paraId="237B1AA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7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879C95">
            <w:pPr>
              <w:pStyle w:val="4"/>
              <w:spacing w:before="240" w:after="120"/>
              <w:outlineLvl w:val="2"/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</w:rPr>
              <w:t>（一）安防平台国产化适配</w:t>
            </w:r>
          </w:p>
        </w:tc>
      </w:tr>
      <w:tr w14:paraId="03550A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68B72F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序号</w:t>
            </w:r>
          </w:p>
        </w:tc>
        <w:tc>
          <w:tcPr>
            <w:tcW w:w="6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4F5356B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名称</w:t>
            </w:r>
          </w:p>
        </w:tc>
        <w:tc>
          <w:tcPr>
            <w:tcW w:w="421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C973A8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主要功能</w:t>
            </w:r>
            <w:r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b/>
                <w:sz w:val="18"/>
              </w:rPr>
              <w:t>要求</w:t>
            </w:r>
          </w:p>
        </w:tc>
        <w:tc>
          <w:tcPr>
            <w:tcW w:w="147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AB5F72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数量</w:t>
            </w:r>
          </w:p>
        </w:tc>
        <w:tc>
          <w:tcPr>
            <w:tcW w:w="15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3A1F49">
            <w:pPr>
              <w:pStyle w:val="4"/>
              <w:spacing w:before="30" w:after="30"/>
              <w:ind w:firstLine="361" w:firstLineChars="200"/>
              <w:jc w:val="both"/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  <w:t>备注</w:t>
            </w:r>
          </w:p>
        </w:tc>
      </w:tr>
      <w:tr w14:paraId="284D20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15F874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3207A9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4029777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★基于采购方提供的软硬件基础环境（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服务器、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操作系统、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数据库等）完成安防平台的国产化适配、部署，不得改变原授权功能及授权点位数量，实现平台原有功能并完成历史数据迁移。</w:t>
            </w:r>
          </w:p>
          <w:p w14:paraId="40FEB14E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★应同时具备B/S和C/S构架，能适配X86、C86、ARM等CPU架构以及Windows、银河麒麟，统信UOS等桌面操作系统。</w:t>
            </w:r>
          </w:p>
          <w:p w14:paraId="71D7A05C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包含但不限于以下内容：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5E1D76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D0D695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11BCE71E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6B025F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B78D2D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B3DA5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4BF2A9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1512A92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038DCB1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257B0DA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624549A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1FEE7710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89432D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3959F5AA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7CDC177B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40A57CF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6D19205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779D579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在用平台品牌</w:t>
            </w:r>
          </w:p>
          <w:p w14:paraId="34D780A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及型号：</w:t>
            </w:r>
          </w:p>
          <w:p w14:paraId="6EB0527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海康威视,</w:t>
            </w:r>
          </w:p>
          <w:p w14:paraId="2F0D3F7D">
            <w:pPr>
              <w:pStyle w:val="4"/>
              <w:spacing w:before="30" w:after="3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Infovison SPCC 智慧监所综合管控</w:t>
            </w:r>
          </w:p>
          <w:p w14:paraId="285620E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平台V1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.4</w:t>
            </w:r>
            <w:r>
              <w:rPr>
                <w:rFonts w:hint="eastAsia" w:ascii="仿宋" w:hAnsi="仿宋" w:eastAsia="仿宋" w:cs="仿宋"/>
              </w:rPr>
              <w:t>及</w:t>
            </w:r>
          </w:p>
          <w:p w14:paraId="22F0722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V2.1版</w:t>
            </w:r>
          </w:p>
        </w:tc>
      </w:tr>
      <w:tr w14:paraId="32ED39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7" w:hRule="atLeast"/>
        </w:trPr>
        <w:tc>
          <w:tcPr>
            <w:tcW w:w="603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2A743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7CAD007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108A97B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414AEBE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2BEE2F1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667ADC0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20093C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1469D51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6433799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02C6B41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  <w:p w14:paraId="58EF1DD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D80C6C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基础功能适配迁移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E9368A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★（1）平台基础包、视频监控、视频级联、电视墙、门禁管理、重点区域人员门禁管控、入侵报警、监所报警中心、智能监控、人员核验、防误放管理等功能的适配。</w:t>
            </w:r>
          </w:p>
          <w:p w14:paraId="25DC48A1">
            <w:pPr>
              <w:pStyle w:val="4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▲（2）车辆区域管控、人员区域管控、监所地图、监所人员管理、AI模型管理、人车智能档案、外来人车登记、车辆核验</w:t>
            </w:r>
            <w:r>
              <w:rPr>
                <w:rFonts w:hint="eastAsia" w:ascii="仿宋" w:hAnsi="仿宋" w:eastAsia="仿宋" w:cs="仿宋"/>
                <w:b w:val="0"/>
                <w:bCs/>
                <w:sz w:val="18"/>
                <w:lang w:eastAsia="zh-CN"/>
              </w:rPr>
              <w:t>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2670B1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D0BC61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9FDB77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C8EE1D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EAB748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定制功能适配迁移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72268D4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（1）广播联动：实现报警与对讲分机、IP音柱的联动喊话，提供配置页面；</w:t>
            </w:r>
          </w:p>
          <w:p w14:paraId="51EB94A3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（2）指挥中大厅两侧led屏发布定制迁移，实现与值班信息、电网数据、报警信息对接；</w:t>
            </w:r>
          </w:p>
          <w:p w14:paraId="61C30335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（3）周界监墙的高压智能电网联动预警，实现旭飞电网报警（触网、短路、断路）上传平台，能够显示实时电网状态；</w:t>
            </w:r>
          </w:p>
          <w:p w14:paraId="6DE27196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（4）鑫晨风周界微振动报警接入定制迁移；</w:t>
            </w:r>
          </w:p>
          <w:p w14:paraId="0FF49246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（5）罪犯信息库、民警信息库定制接入迁移。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11B3A1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666BE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DE7CEC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6687BC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6E83A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算法策略平台适配迁移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FAB858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★</w:t>
            </w:r>
            <w:r>
              <w:rPr>
                <w:rFonts w:hint="eastAsia" w:ascii="仿宋" w:hAnsi="仿宋" w:eastAsia="仿宋" w:cs="仿宋"/>
                <w:b w:val="0"/>
                <w:bCs/>
                <w:sz w:val="18"/>
                <w:lang w:val="en-US" w:eastAsia="zh-CN"/>
              </w:rPr>
              <w:t>算法策略平台适配迁移：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通过灵活的组合策略配置实现对人数异常、区域入侵、攀高、单人滞留等报警进行二次分析或服装过滤，提高报警的准确性。同时具备策略回溯、研判等功能。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44B70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0336A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C4FA7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8A599E7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1D5D977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边缘域智能调度适配迁移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7055D8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支持边缘算力的管理和调度，包括融合超脑、AI超脑、AI相机、行业智能分析服务器、轻量级深思等；支持边缘通用算法的下发和任务配置，包括人脸、人体、车辆、周界等；需支持多种任务调度方式，图片抓拍分析、视频轮巡分析；支持智能分析规则配置；支持任务管理，能对任务运行状态进行监测，对设备提前配置分析任务模板，为上层应用提供便捷的任务分析功能。</w:t>
            </w:r>
          </w:p>
          <w:p w14:paraId="7ECD9255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603F9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282A21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46876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93614C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8817D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平台数据迁移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4FB7766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完成现用版本平台上的视频设备、门禁设备、报警主机、报警联动配置、监所地图、行为分析规则配置迁移；存储设备音视频数据的迁移；实现向上级平台推送目录资源及报警信息。</w:t>
            </w:r>
          </w:p>
          <w:p w14:paraId="7D8757DB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提供三年原厂服务，包含软件部署、提供补丁更新、故障处理等。UOS等桌面操作系统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F59FD3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0E6A7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6B2407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8478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E2F2C4B">
            <w:pPr>
              <w:pStyle w:val="4"/>
              <w:outlineLvl w:val="2"/>
              <w:rPr>
                <w:rFonts w:hint="eastAsia" w:ascii="仿宋" w:hAnsi="仿宋" w:eastAsia="仿宋" w:cs="仿宋"/>
                <w:b/>
                <w:sz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</w:rPr>
              <w:t>（</w:t>
            </w:r>
            <w:r>
              <w:rPr>
                <w:rFonts w:hint="eastAsia" w:ascii="仿宋" w:hAnsi="仿宋" w:eastAsia="仿宋" w:cs="仿宋"/>
                <w:b/>
                <w:sz w:val="18"/>
              </w:rPr>
              <w:t>二）灭火系统维护更新</w:t>
            </w:r>
          </w:p>
        </w:tc>
      </w:tr>
      <w:tr w14:paraId="571D5BB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73FD1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30808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七氟丙烷灭火系统维护更新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CA79EF2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对数据机房、指挥中心设备间七氟丙烷灭火系统进行维护更新，满足消防合规要求。含包但不限于气瓶更换、药剂填充、报警控制器及按钮移装等。容量：数据机房120L，指挥大厅设备间70L。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30ABDB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2套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C93CF5">
            <w:pPr>
              <w:pStyle w:val="4"/>
              <w:spacing w:before="30" w:after="30"/>
              <w:ind w:left="200" w:hanging="200" w:hangingChars="10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机房、指挥大厅设备间各1套</w:t>
            </w:r>
          </w:p>
        </w:tc>
      </w:tr>
      <w:tr w14:paraId="670BB3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8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25CC63C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三</w:t>
            </w: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设施维护更新、设备采购及安装</w:t>
            </w:r>
          </w:p>
        </w:tc>
      </w:tr>
      <w:tr w14:paraId="21CC60E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74529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58EF02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指挥大厅地板及地毯维护更新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F0E41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对指挥大厅地板及地毯进行维护更换，含损坏地板及底座修复、旧地毯拆除及清运、新地毯安装等。地毯要求：</w:t>
            </w:r>
          </w:p>
          <w:p w14:paraId="68701B60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1.规格：500×500mm，总厚度≥5.5mm；</w:t>
            </w:r>
          </w:p>
          <w:p w14:paraId="0DB04131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2.材质：绒面：100%尼龙（含抗静电纤维，永久抗静电），绒高≥4mm，色牢度≥4级；底背：环保PVC，防潮防翘边。</w:t>
            </w:r>
          </w:p>
          <w:p w14:paraId="12FB0D52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3.性能：阻燃达GB 8624-2012 B1级，提供CMA/CNAS第三方检测报告。</w:t>
            </w:r>
          </w:p>
          <w:p w14:paraId="4B84730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4.安装要求：含基层处理、专用环保胶、收边条，铺设平整无鼓包、拼缝严密。</w:t>
            </w:r>
          </w:p>
          <w:p w14:paraId="6609B32F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含不少于三年质保。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DBE0B0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160平方米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FD0F86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729787B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C386E6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615439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车间弱电机柜供电改造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BA50D8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对1#-5#习艺车间弱电机柜供电线路进行改造，将原来的从值班室配电箱取电改为从车间总配电箱取电，设置独立空开。取电位置为隔壁房间，含YJV3*6阻燃线材100米、40A空开5个、配电箱5个及相关辅材。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B1484D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1项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779D9D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4D81BE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90CE77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7F1C2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UPS机头更换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DAF4576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在线式，10KVA，含安装调试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D4CFF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788D005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AB门配电室</w:t>
            </w:r>
          </w:p>
        </w:tc>
      </w:tr>
      <w:tr w14:paraId="13014D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B533D9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E2F80E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时序电源控制器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6C7940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≥2+8路万用插座继电器受控，总功率≥6000W、单路≥2000W，具备滤波功能，过载、过流保护，具备电压显示及输入输出指示灯，顺序开启、逆序关闭，标准机架式（含电源线及安装配件）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1816E6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51AA06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弱电机柜使用</w:t>
            </w:r>
          </w:p>
        </w:tc>
      </w:tr>
      <w:tr w14:paraId="56B5FE6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899ABA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3FE91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声光报警音箱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CA9ED6C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音频触发声光报警，具备电脑原声输出，音量可调；LED旋转发光，红色；支持种3.5mm音频接口接入；带电源适配器、音频线，磁吸底座。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C2AE8F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830C5D0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报警提示</w:t>
            </w:r>
          </w:p>
        </w:tc>
      </w:tr>
      <w:tr w14:paraId="4E6498E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84266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52F074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透尘透水汽摄像机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2E604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最高分辨率可达400万像素，并在此分辨率下可输出30 fps实时图像，图像更流畅；支持透雾、电子防抖；支持宽动态120 dB；焦距：2.8~12 mm；带雨刷 (配毛刷)；支持防雷、防浪涌、防静电，IP68防护等级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B8A45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19507ED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65D1842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C5CBF4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63A647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广角半球摄像机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8AA8E07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具有≥500万像素CMOS图像传感器，内置不少于1个扬声器和1个拾音器，具有不少于1个RJ45接口、1个音频输入接口、1个音频输出接口、1个SD卡槽、2个报警输入接口、1个报警输出接口、1个RS485接口。支持焦距：≤</w:t>
            </w:r>
          </w:p>
          <w:p w14:paraId="6BAFEED8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1.8mm，定焦。水平视场角:≥130°，垂直视场角:100°。防暴:IK10。支持在温度 -30℃~60℃（-22°F~140°F）下正常使用。支持宽动态自动切换功能，在环境亮度变化时，可自动进行关闭/开启切换。含底座。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D9CADA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7135FD7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289D8A1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EF2F0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294CA9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开关电源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C7153A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箱式，12V、30A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449956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32A4EB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67AFFF4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B2C72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93E37B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电子白板一体机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295B53B">
            <w:pPr>
              <w:pStyle w:val="4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内存≥4G、存储≥64G；≥75英寸触摸屏、4K超高清；具备≥RJ45*1、Audio out*1、USB 3.0*2、HMDI in*2等接口；内置扬声器、蓝牙、Wi-Fi，防爆屏，无线投屏，笔迹识别，反向触控，多分屏投屏，多功能白板；具备定时投放壁纸、海报、宣传稿件功能。含支架+传屏器+书写笔*2；三年质保</w:t>
            </w:r>
            <w:r>
              <w:rPr>
                <w:rFonts w:hint="eastAsia" w:ascii="仿宋" w:hAnsi="仿宋" w:eastAsia="仿宋" w:cs="仿宋"/>
                <w:lang w:eastAsia="zh-CN"/>
              </w:rPr>
              <w:t>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DF8E8B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963D3F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指挥大厅</w:t>
            </w:r>
          </w:p>
        </w:tc>
      </w:tr>
      <w:tr w14:paraId="5524EF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CDB6AE2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DD7F356">
            <w:pPr>
              <w:pStyle w:val="4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监视器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0509445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面板尺寸：65英寸；亮度：400cd/m²；供电方式：100–240VAC，50/60Hz；工作温度：0℃～+40℃；信号输入标配：HDMI×2、USB×1、VGA×1、SPDIF×1、Audio×1、RS232×1，7*24小时持续工作。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DC18AFB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340462F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</w:tbl>
    <w:p w14:paraId="50457A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6B70B1"/>
    <w:rsid w:val="046B70B1"/>
    <w:rsid w:val="489F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904</Words>
  <Characters>949</Characters>
  <Lines>0</Lines>
  <Paragraphs>0</Paragraphs>
  <TotalTime>12</TotalTime>
  <ScaleCrop>false</ScaleCrop>
  <LinksUpToDate>false</LinksUpToDate>
  <CharactersWithSpaces>951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2026-09-15T01:24:00Z</dcterms:created>
  <dc:creator>琢</dc:creator>
  <cp:lastModifiedBy>琢</cp:lastModifiedBy>
  <dcterms:modified xsi:type="dcterms:W3CDTF">2026-09-29T06:41:22Z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EB338E8E9266497F95FD92CFB6EE7B76_13</vt:lpwstr>
  </property>
  <property fmtid="{D5CDD505-2E9C-101B-9397-08002B2CF9AE}" pid="4" name="KSOTemplateDocerSaveRecord">
    <vt:lpwstr>eyJoZGlkIjoiM2NhMzM2ZDlmNjM2ZTM0Zjc5MjQyNTVhY2E3ZmRkN2YiLCJ1c2VySWQiOiIzOTc4NDkyMzYifQ==</vt:lpwstr>
  </property>
</Properties>
</file>