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版本号：SXKK2026-CS-01120260515001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三原县新兴镇五四村道路维修工程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SXKK2026-CS-011</w:t>
      </w:r>
      <w:r>
        <w:br/>
      </w:r>
      <w:r>
        <w:br/>
      </w:r>
      <w:r>
        <w:br/>
      </w:r>
    </w:p>
    <w:p>
      <w:pPr>
        <w:pStyle w:val="null3"/>
        <w:jc w:val="center"/>
        <w:outlineLvl w:val="2"/>
      </w:pPr>
      <w:r>
        <w:rPr>
          <w:rFonts w:ascii="仿宋_GB2312" w:hAnsi="仿宋_GB2312" w:cs="仿宋_GB2312" w:eastAsia="仿宋_GB2312"/>
          <w:sz w:val="28"/>
          <w:b/>
        </w:rPr>
        <w:t>三原县农村公路管理站</w:t>
      </w:r>
    </w:p>
    <w:p>
      <w:pPr>
        <w:pStyle w:val="null3"/>
        <w:jc w:val="center"/>
        <w:outlineLvl w:val="2"/>
      </w:pPr>
      <w:r>
        <w:rPr>
          <w:rFonts w:ascii="仿宋_GB2312" w:hAnsi="仿宋_GB2312" w:cs="仿宋_GB2312" w:eastAsia="仿宋_GB2312"/>
          <w:sz w:val="28"/>
          <w:b/>
        </w:rPr>
        <w:t>陕西夸克工程造价咨询有限公司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陕西夸克工程造价咨询有限公司</w:t>
      </w:r>
      <w:r>
        <w:rPr>
          <w:rFonts w:ascii="仿宋_GB2312" w:hAnsi="仿宋_GB2312" w:cs="仿宋_GB2312" w:eastAsia="仿宋_GB2312"/>
        </w:rPr>
        <w:t>（以下简称“代理机构”）受</w:t>
      </w:r>
      <w:r>
        <w:rPr>
          <w:rFonts w:ascii="仿宋_GB2312" w:hAnsi="仿宋_GB2312" w:cs="仿宋_GB2312" w:eastAsia="仿宋_GB2312"/>
        </w:rPr>
        <w:t>三原县农村公路管理站</w:t>
      </w:r>
      <w:r>
        <w:rPr>
          <w:rFonts w:ascii="仿宋_GB2312" w:hAnsi="仿宋_GB2312" w:cs="仿宋_GB2312" w:eastAsia="仿宋_GB2312"/>
        </w:rPr>
        <w:t>委托，拟对</w:t>
      </w:r>
      <w:r>
        <w:rPr>
          <w:rFonts w:ascii="仿宋_GB2312" w:hAnsi="仿宋_GB2312" w:cs="仿宋_GB2312" w:eastAsia="仿宋_GB2312"/>
        </w:rPr>
        <w:t>三原县新兴镇五四村道路维修工程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SXKK2026-CS-011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三原县新兴镇五四村道路维修工程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确保我县农村公路安全畅通，我站现拟实施三原县新兴镇五四村道路维修工程，总规模1365米，主要实施三原县新兴镇五四村道路维修工程，对旧水泥路面病害换板修复后铺筑5cm中粒式沥青混凝土，同时完善沿线交安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采购包1（三原县新兴镇五四村道路维修工程）：属于专门面向中小企业采购。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1、营业执照及主体资格：独立承担民事责任的法人或其他组织有效的营业执照（或统一社会信用代码的营业执照）等相应证明文件，自然人的提供身份证明文件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2、公司资质：具备公路工程总承包三级（含三级）及以上资质。具备有效的安全生产许可证。</w:t>
      </w:r>
    </w:p>
    <w:p>
      <w:pPr>
        <w:pStyle w:val="null3"/>
      </w:pPr>
      <w:r>
        <w:rPr>
          <w:rFonts w:ascii="仿宋_GB2312" w:hAnsi="仿宋_GB2312" w:cs="仿宋_GB2312" w:eastAsia="仿宋_GB2312"/>
        </w:rPr>
        <w:t>3、项目负责人：具备公路工程专业二级及以上注册建造师执业资格，并具备相应有效的安全生产考核合格证书，须在本单位注册，且未担任其他在建工程项目的项目经理（提供项目经理无在建工程承诺书）</w:t>
      </w:r>
    </w:p>
    <w:p>
      <w:pPr>
        <w:pStyle w:val="null3"/>
      </w:pPr>
      <w:r>
        <w:rPr>
          <w:rFonts w:ascii="仿宋_GB2312" w:hAnsi="仿宋_GB2312" w:cs="仿宋_GB2312" w:eastAsia="仿宋_GB2312"/>
        </w:rPr>
        <w:t>4、法定代表人授权委托书：法定代表人或负责人参加投标时，提供本人身份证，并与营业执照中法定代表人或负责人信息相符；授权代表参加投标时，提供授权书和被授权人身份证；</w:t>
      </w:r>
    </w:p>
    <w:p>
      <w:pPr>
        <w:pStyle w:val="null3"/>
      </w:pPr>
      <w:r>
        <w:rPr>
          <w:rFonts w:ascii="仿宋_GB2312" w:hAnsi="仿宋_GB2312" w:cs="仿宋_GB2312" w:eastAsia="仿宋_GB2312"/>
        </w:rPr>
        <w:t>5、财务状况报告：提供2024年度或2025年度经审计的财务报告（成立时间至提交响应文件截止时间 不足一年的可提供 成立后任意时段的资产负债表），或其开标前三个月内银行出具 的资信证明，（以上两种形式的资料提供任何一种即可）</w:t>
      </w:r>
    </w:p>
    <w:p>
      <w:pPr>
        <w:pStyle w:val="null3"/>
      </w:pPr>
      <w:r>
        <w:rPr>
          <w:rFonts w:ascii="仿宋_GB2312" w:hAnsi="仿宋_GB2312" w:cs="仿宋_GB2312" w:eastAsia="仿宋_GB2312"/>
        </w:rPr>
        <w:t>6、税收缴纳证准明：提供截止开标日期以前六个月以内任意一个月的纳税证明或完税证明（时间以税款所属日期为准、税种须包含增值税或企业所得税），依法免税的单位应提供相关证明材料。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7、社会保障资金缴纳证明：提供截止开标日期以前六个月以内任意一个月的社会保障资金缴存单据或社保机构开具的社会 保险参保缴费情况证明，依法不需要缴纳社会保障资金的单位应提供相关证明材料。</w:t>
      </w:r>
    </w:p>
    <w:p>
      <w:pPr>
        <w:pStyle w:val="null3"/>
      </w:pPr>
      <w:r>
        <w:rPr>
          <w:rFonts w:ascii="仿宋_GB2312" w:hAnsi="仿宋_GB2312" w:cs="仿宋_GB2312" w:eastAsia="仿宋_GB2312"/>
        </w:rPr>
        <w:t>8、声明：提供具有履行本合同所必需的设备和专业技术能力的声明</w:t>
      </w:r>
    </w:p>
    <w:p>
      <w:pPr>
        <w:pStyle w:val="null3"/>
      </w:pPr>
      <w:r>
        <w:rPr>
          <w:rFonts w:ascii="仿宋_GB2312" w:hAnsi="仿宋_GB2312" w:cs="仿宋_GB2312" w:eastAsia="仿宋_GB2312"/>
        </w:rPr>
        <w:t>9、非联合体声明：本项目不接受联合体投标，单位负责人为同一人或者存在直接控股、管理关系的不 同投标人，不得参加同一合同项下的政府采购活动（提供非联合体投标声明，包括 控股管理声明）</w:t>
      </w:r>
    </w:p>
    <w:p>
      <w:pPr>
        <w:pStyle w:val="null3"/>
      </w:pPr>
      <w:r>
        <w:rPr>
          <w:rFonts w:ascii="仿宋_GB2312" w:hAnsi="仿宋_GB2312" w:cs="仿宋_GB2312" w:eastAsia="仿宋_GB2312"/>
        </w:rPr>
        <w:t>10、信用中国：不得为“信用中国”网站(http://www.creditchina.gov.cn)列入“失信被执行人（ 页面跳转至“中国执行信息公开网”http://zxgk.court.gov.cn/shixin/）、重大税 收违法失信主体、政府采购严重违法失信行为记录名单”的供应商；不得为中国政府采购网(http://www.ccgp.gov.cn)“政府采购严重违法失信行为记录名单”中的 供应商；</w:t>
      </w:r>
    </w:p>
    <w:p>
      <w:pPr>
        <w:pStyle w:val="null3"/>
      </w:pPr>
      <w:r>
        <w:rPr>
          <w:rFonts w:ascii="仿宋_GB2312" w:hAnsi="仿宋_GB2312" w:cs="仿宋_GB2312" w:eastAsia="仿宋_GB2312"/>
        </w:rPr>
        <w:t>11、重大违法声明：供应商参加采购活动近3年内经营活动中没有重大违法记录声明，以及未被列入失信被执行人、重大税收违法案件当事人名单、政府采购严重违法失信行为记录名单的书面声明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三原县农村公路管理站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三原县城关镇三里店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029-32316365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陕西夸克工程造价咨询有限公司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陕西省西安市未央区萧家北巷文景尚品 12 楼 1218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邬经理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采购包1：975,800.00元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 ，由成交供应商支付采购代理服务费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三原县农村公路管理站</w:t>
      </w:r>
      <w:r>
        <w:rPr>
          <w:rFonts w:ascii="仿宋_GB2312" w:hAnsi="仿宋_GB2312" w:cs="仿宋_GB2312" w:eastAsia="仿宋_GB2312"/>
        </w:rPr>
        <w:t>和</w:t>
      </w:r>
      <w:r>
        <w:rPr>
          <w:rFonts w:ascii="仿宋_GB2312" w:hAnsi="仿宋_GB2312" w:cs="仿宋_GB2312" w:eastAsia="仿宋_GB2312"/>
        </w:rPr>
        <w:t>陕西夸克工程造价咨询有限公司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三原县农村公路管理站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陕西夸克工程造价咨询有限公司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三原县农村公路管理站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陕西夸克工程造价咨询有限公司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本工程验收按《公路工程技术标准》（JTG B01-2014）执行，工程量、规格符合采购需求，各分项技术指标达标，质量合格；按期完工，无安全事故，竣工资料齐全规范，全部满足即为合格。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联系人：邬经理</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地址：陕西省西安市未央区萧家北巷文景尚品 12 楼 1218 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975,800.00</w:t>
      </w:r>
    </w:p>
    <w:p>
      <w:pPr>
        <w:pStyle w:val="null3"/>
      </w:pPr>
      <w:r>
        <w:rPr>
          <w:rFonts w:ascii="仿宋_GB2312" w:hAnsi="仿宋_GB2312" w:cs="仿宋_GB2312" w:eastAsia="仿宋_GB2312"/>
        </w:rPr>
        <w:t>采购包最高限价（元）: 975,800.00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公路工程施工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975,800.00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标的名称：公路工程施工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2"/>
            </w:pPr>
            <w:r>
              <w:rPr>
                <w:rFonts w:ascii="仿宋_GB2312" w:hAnsi="仿宋_GB2312" w:cs="仿宋_GB2312" w:eastAsia="仿宋_GB2312"/>
                <w:sz w:val="24"/>
                <w:b/>
                <w:color w:val="000000"/>
              </w:rPr>
              <w:t>一、总体技术要求</w:t>
            </w:r>
          </w:p>
          <w:p>
            <w:pPr>
              <w:pStyle w:val="null3"/>
              <w:ind w:firstLine="480"/>
              <w:jc w:val="left"/>
            </w:pPr>
            <w:r>
              <w:rPr>
                <w:rFonts w:ascii="仿宋_GB2312" w:hAnsi="仿宋_GB2312" w:cs="仿宋_GB2312" w:eastAsia="仿宋_GB2312"/>
                <w:sz w:val="24"/>
                <w:color w:val="000000"/>
              </w:rPr>
              <w:t>所有材料、施工工艺及质量验收均符合国家及行业现行标准规范，工程质量合格，满足农村公路安全通行与长期使用要求。</w:t>
            </w:r>
          </w:p>
          <w:p>
            <w:pPr>
              <w:pStyle w:val="null3"/>
              <w:jc w:val="left"/>
              <w:outlineLvl w:val="2"/>
            </w:pPr>
            <w:r>
              <w:rPr>
                <w:rFonts w:ascii="仿宋_GB2312" w:hAnsi="仿宋_GB2312" w:cs="仿宋_GB2312" w:eastAsia="仿宋_GB2312"/>
                <w:sz w:val="24"/>
                <w:b/>
                <w:color w:val="000000"/>
              </w:rPr>
              <w:t>二、道路工程技术要求</w:t>
            </w:r>
          </w:p>
          <w:p>
            <w:pPr>
              <w:pStyle w:val="null3"/>
              <w:ind w:left="-360" w:firstLine="482"/>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沥青混凝土面层</w:t>
            </w:r>
            <w:r>
              <w:rPr>
                <w:rFonts w:ascii="仿宋_GB2312" w:hAnsi="仿宋_GB2312" w:cs="仿宋_GB2312" w:eastAsia="仿宋_GB2312"/>
                <w:sz w:val="24"/>
                <w:color w:val="000000"/>
              </w:rPr>
              <w:t>：材料性能优良，摊铺密实平整，层间粘结牢固，无病害、无松散。</w:t>
            </w:r>
          </w:p>
          <w:p>
            <w:pPr>
              <w:pStyle w:val="null3"/>
              <w:ind w:left="-360" w:firstLine="482"/>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乳化沥青粘层</w:t>
            </w:r>
            <w:r>
              <w:rPr>
                <w:rFonts w:ascii="仿宋_GB2312" w:hAnsi="仿宋_GB2312" w:cs="仿宋_GB2312" w:eastAsia="仿宋_GB2312"/>
                <w:sz w:val="24"/>
                <w:color w:val="000000"/>
              </w:rPr>
              <w:t>：喷洒均匀，粘结可靠，保证路面结构整体稳定。</w:t>
            </w:r>
          </w:p>
          <w:p>
            <w:pPr>
              <w:pStyle w:val="null3"/>
              <w:ind w:left="-360" w:firstLine="482"/>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玻纤格栅</w:t>
            </w:r>
            <w:r>
              <w:rPr>
                <w:rFonts w:ascii="仿宋_GB2312" w:hAnsi="仿宋_GB2312" w:cs="仿宋_GB2312" w:eastAsia="仿宋_GB2312"/>
                <w:sz w:val="24"/>
                <w:color w:val="000000"/>
              </w:rPr>
              <w:t>：抗拉抗裂，铺设平整，有效增强路面结构性能。</w:t>
            </w:r>
          </w:p>
          <w:p>
            <w:pPr>
              <w:pStyle w:val="null3"/>
              <w:ind w:left="-360" w:firstLine="482"/>
              <w:jc w:val="left"/>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抗裂贴</w:t>
            </w:r>
            <w:r>
              <w:rPr>
                <w:rFonts w:ascii="仿宋_GB2312" w:hAnsi="仿宋_GB2312" w:cs="仿宋_GB2312" w:eastAsia="仿宋_GB2312"/>
                <w:sz w:val="24"/>
                <w:color w:val="000000"/>
              </w:rPr>
              <w:t>：防水抗裂，粘结牢固，抑制裂缝发展。</w:t>
            </w:r>
          </w:p>
          <w:p>
            <w:pPr>
              <w:pStyle w:val="null3"/>
              <w:ind w:left="-360" w:firstLine="482"/>
              <w:jc w:val="left"/>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清缝灌缝</w:t>
            </w:r>
            <w:r>
              <w:rPr>
                <w:rFonts w:ascii="仿宋_GB2312" w:hAnsi="仿宋_GB2312" w:cs="仿宋_GB2312" w:eastAsia="仿宋_GB2312"/>
                <w:sz w:val="24"/>
                <w:color w:val="000000"/>
              </w:rPr>
              <w:t>：缝体清理干净，密封密实，耐久防水。</w:t>
            </w:r>
          </w:p>
          <w:p>
            <w:pPr>
              <w:pStyle w:val="null3"/>
              <w:ind w:left="-360" w:firstLine="482"/>
              <w:jc w:val="left"/>
            </w:pPr>
            <w:r>
              <w:rPr>
                <w:rFonts w:ascii="仿宋_GB2312" w:hAnsi="仿宋_GB2312" w:cs="仿宋_GB2312" w:eastAsia="仿宋_GB2312"/>
                <w:sz w:val="24"/>
                <w:b/>
                <w:color w:val="000000"/>
              </w:rPr>
              <w:t>6.</w:t>
            </w:r>
            <w:r>
              <w:rPr>
                <w:rFonts w:ascii="仿宋_GB2312" w:hAnsi="仿宋_GB2312" w:cs="仿宋_GB2312" w:eastAsia="仿宋_GB2312"/>
                <w:sz w:val="24"/>
                <w:b/>
                <w:color w:val="000000"/>
              </w:rPr>
              <w:t>旧路面拉毛</w:t>
            </w:r>
            <w:r>
              <w:rPr>
                <w:rFonts w:ascii="仿宋_GB2312" w:hAnsi="仿宋_GB2312" w:cs="仿宋_GB2312" w:eastAsia="仿宋_GB2312"/>
                <w:sz w:val="24"/>
                <w:color w:val="000000"/>
              </w:rPr>
              <w:t>：表面粗糙均匀，新旧结构结合良好。</w:t>
            </w:r>
          </w:p>
          <w:p>
            <w:pPr>
              <w:pStyle w:val="null3"/>
              <w:ind w:left="-360" w:firstLine="482"/>
              <w:jc w:val="left"/>
            </w:pPr>
            <w:r>
              <w:rPr>
                <w:rFonts w:ascii="仿宋_GB2312" w:hAnsi="仿宋_GB2312" w:cs="仿宋_GB2312" w:eastAsia="仿宋_GB2312"/>
                <w:sz w:val="24"/>
                <w:b/>
                <w:color w:val="000000"/>
              </w:rPr>
              <w:t>7.</w:t>
            </w:r>
            <w:r>
              <w:rPr>
                <w:rFonts w:ascii="仿宋_GB2312" w:hAnsi="仿宋_GB2312" w:cs="仿宋_GB2312" w:eastAsia="仿宋_GB2312"/>
                <w:sz w:val="24"/>
                <w:b/>
                <w:color w:val="000000"/>
              </w:rPr>
              <w:t>水泥混凝土</w:t>
            </w:r>
            <w:r>
              <w:rPr>
                <w:rFonts w:ascii="仿宋_GB2312" w:hAnsi="仿宋_GB2312" w:cs="仿宋_GB2312" w:eastAsia="仿宋_GB2312"/>
                <w:sz w:val="24"/>
                <w:color w:val="000000"/>
              </w:rPr>
              <w:t>：强度与结构性能达标，外观平整完好。</w:t>
            </w:r>
          </w:p>
          <w:p>
            <w:pPr>
              <w:pStyle w:val="null3"/>
              <w:ind w:left="-360" w:firstLine="482"/>
              <w:jc w:val="left"/>
            </w:pPr>
            <w:r>
              <w:rPr>
                <w:rFonts w:ascii="仿宋_GB2312" w:hAnsi="仿宋_GB2312" w:cs="仿宋_GB2312" w:eastAsia="仿宋_GB2312"/>
                <w:sz w:val="24"/>
                <w:b/>
                <w:color w:val="000000"/>
              </w:rPr>
              <w:t>8.</w:t>
            </w:r>
            <w:r>
              <w:rPr>
                <w:rFonts w:ascii="仿宋_GB2312" w:hAnsi="仿宋_GB2312" w:cs="仿宋_GB2312" w:eastAsia="仿宋_GB2312"/>
                <w:sz w:val="24"/>
                <w:b/>
                <w:color w:val="000000"/>
              </w:rPr>
              <w:t>水泥稳定土基层</w:t>
            </w:r>
            <w:r>
              <w:rPr>
                <w:rFonts w:ascii="仿宋_GB2312" w:hAnsi="仿宋_GB2312" w:cs="仿宋_GB2312" w:eastAsia="仿宋_GB2312"/>
                <w:sz w:val="24"/>
                <w:color w:val="000000"/>
              </w:rPr>
              <w:t>：配比合理、压实充分，承载能力满足设计要求。</w:t>
            </w:r>
          </w:p>
          <w:p>
            <w:pPr>
              <w:pStyle w:val="null3"/>
              <w:ind w:left="-360" w:firstLine="482"/>
              <w:jc w:val="left"/>
            </w:pPr>
            <w:r>
              <w:rPr>
                <w:rFonts w:ascii="仿宋_GB2312" w:hAnsi="仿宋_GB2312" w:cs="仿宋_GB2312" w:eastAsia="仿宋_GB2312"/>
                <w:sz w:val="24"/>
                <w:b/>
                <w:color w:val="000000"/>
              </w:rPr>
              <w:t>9.</w:t>
            </w:r>
            <w:r>
              <w:rPr>
                <w:rFonts w:ascii="仿宋_GB2312" w:hAnsi="仿宋_GB2312" w:cs="仿宋_GB2312" w:eastAsia="仿宋_GB2312"/>
                <w:sz w:val="24"/>
                <w:b/>
                <w:color w:val="000000"/>
              </w:rPr>
              <w:t>钢筋植筋</w:t>
            </w:r>
            <w:r>
              <w:rPr>
                <w:rFonts w:ascii="仿宋_GB2312" w:hAnsi="仿宋_GB2312" w:cs="仿宋_GB2312" w:eastAsia="仿宋_GB2312"/>
                <w:sz w:val="24"/>
                <w:color w:val="000000"/>
              </w:rPr>
              <w:t>：材质合格，锚固牢固，满足结构连接要求。</w:t>
            </w:r>
          </w:p>
          <w:p>
            <w:pPr>
              <w:pStyle w:val="null3"/>
              <w:ind w:left="-360" w:firstLine="482"/>
              <w:jc w:val="left"/>
            </w:pPr>
            <w:r>
              <w:rPr>
                <w:rFonts w:ascii="仿宋_GB2312" w:hAnsi="仿宋_GB2312" w:cs="仿宋_GB2312" w:eastAsia="仿宋_GB2312"/>
                <w:sz w:val="24"/>
                <w:b/>
                <w:color w:val="000000"/>
              </w:rPr>
              <w:t>10.</w:t>
            </w:r>
            <w:r>
              <w:rPr>
                <w:rFonts w:ascii="仿宋_GB2312" w:hAnsi="仿宋_GB2312" w:cs="仿宋_GB2312" w:eastAsia="仿宋_GB2312"/>
                <w:sz w:val="24"/>
                <w:b/>
                <w:color w:val="000000"/>
              </w:rPr>
              <w:t>土石方工程</w:t>
            </w:r>
            <w:r>
              <w:rPr>
                <w:rFonts w:ascii="仿宋_GB2312" w:hAnsi="仿宋_GB2312" w:cs="仿宋_GB2312" w:eastAsia="仿宋_GB2312"/>
                <w:sz w:val="24"/>
                <w:color w:val="000000"/>
              </w:rPr>
              <w:t>：开挖规范、填筑密实，路基稳定可靠。</w:t>
            </w:r>
          </w:p>
          <w:p>
            <w:pPr>
              <w:pStyle w:val="null3"/>
              <w:ind w:left="-360" w:firstLine="482"/>
              <w:jc w:val="left"/>
            </w:pPr>
            <w:r>
              <w:rPr>
                <w:rFonts w:ascii="仿宋_GB2312" w:hAnsi="仿宋_GB2312" w:cs="仿宋_GB2312" w:eastAsia="仿宋_GB2312"/>
                <w:sz w:val="24"/>
                <w:b/>
                <w:color w:val="000000"/>
              </w:rPr>
              <w:t>11.</w:t>
            </w:r>
            <w:r>
              <w:rPr>
                <w:rFonts w:ascii="仿宋_GB2312" w:hAnsi="仿宋_GB2312" w:cs="仿宋_GB2312" w:eastAsia="仿宋_GB2312"/>
                <w:sz w:val="24"/>
                <w:b/>
                <w:color w:val="000000"/>
              </w:rPr>
              <w:t>旧路面挖除外运</w:t>
            </w:r>
            <w:r>
              <w:rPr>
                <w:rFonts w:ascii="仿宋_GB2312" w:hAnsi="仿宋_GB2312" w:cs="仿宋_GB2312" w:eastAsia="仿宋_GB2312"/>
                <w:sz w:val="24"/>
                <w:color w:val="000000"/>
              </w:rPr>
              <w:t>：破除彻底、清运规范，场地整洁。</w:t>
            </w:r>
          </w:p>
          <w:p>
            <w:pPr>
              <w:pStyle w:val="null3"/>
              <w:jc w:val="left"/>
              <w:outlineLvl w:val="2"/>
            </w:pPr>
            <w:r>
              <w:rPr>
                <w:rFonts w:ascii="仿宋_GB2312" w:hAnsi="仿宋_GB2312" w:cs="仿宋_GB2312" w:eastAsia="仿宋_GB2312"/>
                <w:sz w:val="24"/>
                <w:b/>
                <w:color w:val="000000"/>
              </w:rPr>
              <w:t>三、交通安全设施技术要求</w:t>
            </w:r>
          </w:p>
          <w:p>
            <w:pPr>
              <w:pStyle w:val="null3"/>
              <w:ind w:left="-360" w:firstLine="482"/>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交通标志</w:t>
            </w:r>
            <w:r>
              <w:rPr>
                <w:rFonts w:ascii="仿宋_GB2312" w:hAnsi="仿宋_GB2312" w:cs="仿宋_GB2312" w:eastAsia="仿宋_GB2312"/>
                <w:sz w:val="24"/>
                <w:color w:val="000000"/>
              </w:rPr>
              <w:t>：结构稳固、反光清晰、安装规范，视认性良好。</w:t>
            </w:r>
          </w:p>
          <w:p>
            <w:pPr>
              <w:pStyle w:val="null3"/>
              <w:ind w:left="-360" w:firstLine="482"/>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路面标线</w:t>
            </w:r>
            <w:r>
              <w:rPr>
                <w:rFonts w:ascii="仿宋_GB2312" w:hAnsi="仿宋_GB2312" w:cs="仿宋_GB2312" w:eastAsia="仿宋_GB2312"/>
                <w:sz w:val="24"/>
                <w:color w:val="000000"/>
              </w:rPr>
              <w:t>：线型顺直、粘结牢固、反光耐久，引导清晰。</w:t>
            </w:r>
          </w:p>
          <w:p>
            <w:pPr>
              <w:pStyle w:val="null3"/>
              <w:ind w:left="-360" w:firstLine="482"/>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实体标记</w:t>
            </w:r>
            <w:r>
              <w:rPr>
                <w:rFonts w:ascii="仿宋_GB2312" w:hAnsi="仿宋_GB2312" w:cs="仿宋_GB2312" w:eastAsia="仿宋_GB2312"/>
                <w:sz w:val="24"/>
                <w:color w:val="000000"/>
              </w:rPr>
              <w:t>：结合牢固、反光清晰，警示有效。</w:t>
            </w:r>
          </w:p>
          <w:p>
            <w:pPr>
              <w:pStyle w:val="null3"/>
              <w:ind w:left="-360" w:firstLine="482"/>
              <w:jc w:val="left"/>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道口标柱</w:t>
            </w:r>
            <w:r>
              <w:rPr>
                <w:rFonts w:ascii="仿宋_GB2312" w:hAnsi="仿宋_GB2312" w:cs="仿宋_GB2312" w:eastAsia="仿宋_GB2312"/>
                <w:sz w:val="24"/>
                <w:color w:val="000000"/>
              </w:rPr>
              <w:t>：反光醒目、安装稳固，安全提示到位。</w:t>
            </w:r>
          </w:p>
          <w:p>
            <w:pPr>
              <w:pStyle w:val="null3"/>
              <w:ind w:left="-360" w:firstLine="482"/>
              <w:jc w:val="left"/>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减速带</w:t>
            </w:r>
            <w:r>
              <w:rPr>
                <w:rFonts w:ascii="仿宋_GB2312" w:hAnsi="仿宋_GB2312" w:cs="仿宋_GB2312" w:eastAsia="仿宋_GB2312"/>
                <w:sz w:val="24"/>
                <w:color w:val="000000"/>
              </w:rPr>
              <w:t>：材质耐用、安装牢固，减速效果可靠。</w:t>
            </w:r>
          </w:p>
          <w:p>
            <w:pPr>
              <w:pStyle w:val="null3"/>
              <w:jc w:val="left"/>
              <w:outlineLvl w:val="2"/>
            </w:pPr>
            <w:r>
              <w:rPr>
                <w:rFonts w:ascii="仿宋_GB2312" w:hAnsi="仿宋_GB2312" w:cs="仿宋_GB2312" w:eastAsia="仿宋_GB2312"/>
                <w:sz w:val="24"/>
                <w:b/>
                <w:color w:val="000000"/>
              </w:rPr>
              <w:t>四、验收标准</w:t>
            </w:r>
          </w:p>
          <w:p>
            <w:pPr>
              <w:pStyle w:val="null3"/>
              <w:ind w:firstLine="480"/>
              <w:jc w:val="left"/>
            </w:pPr>
            <w:r>
              <w:rPr>
                <w:rFonts w:ascii="仿宋_GB2312" w:hAnsi="仿宋_GB2312" w:cs="仿宋_GB2312" w:eastAsia="仿宋_GB2312"/>
                <w:sz w:val="24"/>
                <w:color w:val="000000"/>
              </w:rPr>
              <w:t>工程整体功能完善、结构安全、外观整洁，符合国家及行业验收规范，竣工验收合格。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承包人施工全过程须严格遵守国家、交通运输部及行业现行有效的技术规范、施工标准、操作规程及质量验收规定，主要包含但不限于：《公路工程技术标准》（JTG B01-2014）、《小交通量农村公路工程技术标准》（JTG 2111-2019）、《公路路基施工技术规范》（JTG/T 3610-2019）、《公路路面基层施工技术细则》（JTG/T F20-2015）、《公路水泥混凝土路面施工技术细则》（JTG/T F30-2014）、《公路养护技术标准》（JTG 5110-2023）、《公路养护工程质量检验评定标准》（JTG 5220-2020）、《公路路基路面现场测试规程》（JTG 3450-2019）等相关现行规范标准；所有原材料、施工工艺、工程实体质量均须满足现行规范要求，工程整体质量须达到国家及行业验收合格标准，确保一次性验收合格。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中小企业声明函 方案.docx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营业执照及主体资格</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公司资质</w:t>
            </w:r>
          </w:p>
        </w:tc>
        <w:tc>
          <w:tcPr>
            <w:tcW w:type="dxa" w:w="3322"/>
          </w:tcPr>
          <w:p>
            <w:pPr>
              <w:pStyle w:val="null3"/>
            </w:pPr>
            <w:r>
              <w:rPr>
                <w:rFonts w:ascii="仿宋_GB2312" w:hAnsi="仿宋_GB2312" w:cs="仿宋_GB2312" w:eastAsia="仿宋_GB2312"/>
              </w:rPr>
              <w:t>具备公路工程总承包三级（含三级）及以上资质。具备有效的安全生产许可证。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具备公路工程专业二级及以上注册建造师执业资格，并具备相应有效的安全生产考核合格证书，须在本单位注册，且未担任其他在建工程项目的项目经理（提供项目经理无在建工程承诺书）</w:t>
            </w:r>
          </w:p>
        </w:tc>
        <w:tc>
          <w:tcPr>
            <w:tcW w:type="dxa" w:w="1661"/>
          </w:tcPr>
          <w:p>
            <w:pPr>
              <w:pStyle w:val="null3"/>
            </w:pPr>
            <w:r>
              <w:rPr>
                <w:rFonts w:ascii="仿宋_GB2312" w:hAnsi="仿宋_GB2312" w:cs="仿宋_GB2312" w:eastAsia="仿宋_GB2312"/>
              </w:rPr>
              <w:t>项目管理机构组成表 供应商应提交的相关资格证明材料 响应函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法定代表人或负责人参加投标时，提供本人身份证，并与营业执照中法定代表人或负责人信息相符；授权代表参加投标时，提供授权书和被授权人身份证；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 不足一年的可提供 成立后任意时段的资产负债表），或其开标前三个月内银行出具 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税收缴纳证准明</w:t>
            </w:r>
          </w:p>
        </w:tc>
        <w:tc>
          <w:tcPr>
            <w:tcW w:type="dxa" w:w="3322"/>
          </w:tcPr>
          <w:p>
            <w:pPr>
              <w:pStyle w:val="null3"/>
            </w:pPr>
            <w:r>
              <w:rPr>
                <w:rFonts w:ascii="仿宋_GB2312" w:hAnsi="仿宋_GB2312" w:cs="仿宋_GB2312" w:eastAsia="仿宋_GB2312"/>
              </w:rPr>
              <w:t>提供截止开标日期以前六个月以内任意一个月的纳税证明或完税证明（时间以税款所属日期为准、税种须包含增值税或企业所得税），依法免税的单位应提供相关证明材料。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提供截止开标日期以前六个月以内任意一个月的社会保障资金缴存单据或社保机构开具的社会 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 同投标人，不得参加同一合同项下的政府采购活动（提供非联合体投标声明，包括 控股管理声明）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 页面跳转至“中国执行信息公开网”http://zxgk.court.gov.cn/shixin/）、重大税 收违法失信主体、政府采购严重违法失信行为记录名单”的供应商；不得为中国政府采购网(http://www.ccgp.gov.cn)“政府采购严重违法失信行为记录名单”中的 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针对本项目提供的项目施工方案，内容包括但不限于①前期筹备全面部署②施工流程科学规划及成本控制精准高③安全管理全程覆盖 ④工程质量保证措施⑤施工机械设备配备⑥劳动力计划及主要材料供应计划计划效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针对本项目提供的项目管理机构及项目经理部组成，内容包括但不限于①项目管理机构②项目经理部组成③专业化项目经理部组建原则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针对本项目确保安全生产的技术组织措施及应急预案，内容包括但不限于①确保安全生产的技术组织措施②应急预案③危险源分级管控与技术防护体系④安全防护与文明施工措施⑤多场景应急处置预案与演练机制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针对本项目确保文明施工的技术措施及环境保护措施，内容包括但不限于①确保文明施工的技术措施②环境保护措施③施工区域标准化封闭管理措施④精细化扬尘与噪音防控技术方案⑤施工废弃物分类处理与资源化利用措施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针对本项目施工进度计划及确保工期的技术措施，内容包括但不限于①施工进度计划②确保工期的技术措施③分阶段精细化施工进度计划编制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季节性施工管理防范措 施</w:t>
            </w:r>
          </w:p>
        </w:tc>
        <w:tc>
          <w:tcPr>
            <w:tcW w:type="dxa" w:w="2492"/>
          </w:tcPr>
          <w:p>
            <w:pPr>
              <w:pStyle w:val="null3"/>
            </w:pPr>
            <w:r>
              <w:rPr>
                <w:rFonts w:ascii="仿宋_GB2312" w:hAnsi="仿宋_GB2312" w:cs="仿宋_GB2312" w:eastAsia="仿宋_GB2312"/>
              </w:rPr>
              <w:t>针对本项目季节性施工管理防范措施，内容包括但不限于①场地适配系统升级与动态监测措施②工序优化与季节适配作业保障机制③季节性施工管理防范综合措施评审标准：方案内容详细完整、针对性强、可行性高，符合项目实际要求。每项满分2分，缺项不得分，每项 内容存在缺陷扣1分。缺陷是指内容不合理、虽有内容但不完善、内容表述前后不一致 、套用其他项目方案或与项目需求不匹配及其他不利于项目实施的任意一种情形。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针对本项目垃圾清运方案，内容包括但不限于①清运管控与环境防护措施②垃圾清运方案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承诺，内容包括但不限于①服务过程中的相关承诺②投入材料质量承诺③质量保修期内的服务承诺④合理化建议评审标准：方案内容详细完整、针对性强、可行性高，符合项目实际要求。每项满分2分，缺项不得分，每项内容存在缺陷扣1分。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来类似项目业绩；每提供1份计2分，最高得8分。业绩证明（以合同或中标/成交通知书为准，须在磋商响应文件中附以上证明材料的扫描件加盖单位公章，原件备查）弄虚作假者，取消其成交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