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CAE70">
      <w:pPr>
        <w:jc w:val="center"/>
        <w:rPr>
          <w:rFonts w:hint="eastAsia"/>
          <w:b/>
          <w:bCs/>
          <w:sz w:val="32"/>
          <w:szCs w:val="32"/>
        </w:rPr>
      </w:pPr>
      <w:bookmarkStart w:id="0" w:name="_GoBack"/>
      <w:r>
        <w:rPr>
          <w:rFonts w:hint="eastAsia"/>
          <w:b/>
          <w:bCs/>
          <w:sz w:val="32"/>
          <w:szCs w:val="32"/>
        </w:rPr>
        <w:t>中国境内生产的组件成本核算基本规则</w:t>
      </w:r>
      <w:bookmarkEnd w:id="0"/>
    </w:p>
    <w:p w14:paraId="6CA883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产品在中国境内生产的组件成本，一般按照其二级组件的相关成本进行核算。按照产</w:t>
      </w:r>
    </w:p>
    <w:p w14:paraId="003657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品的一级组件进行成本核算能够满足中国境内生产的组件成本判定需求的，可以按照一级</w:t>
      </w:r>
    </w:p>
    <w:p w14:paraId="084520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组件的相关成本进行核算。</w:t>
      </w:r>
    </w:p>
    <w:p w14:paraId="52E17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一、产品的一级组件是指直接组成产品的组件。产品的二级组件是指直接组成产品一</w:t>
      </w:r>
    </w:p>
    <w:p w14:paraId="597070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级组件的组件。一级组件不可分解的，视同二级组件。</w:t>
      </w:r>
    </w:p>
    <w:p w14:paraId="61B6E8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二、二级组件在中国境内生产的，其全部成本计入中国境内生产的组件成本；二级组</w:t>
      </w:r>
    </w:p>
    <w:p w14:paraId="1F5C59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件不在中国境内生产的，其成本不计入中国境内生产的组件成本。</w:t>
      </w:r>
    </w:p>
    <w:p w14:paraId="769D41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三、产品总成本和组件成本以相关会计核算数据、采购合同、进货记录等为基础进行</w:t>
      </w:r>
    </w:p>
    <w:p w14:paraId="1FF64C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计算。</w:t>
      </w:r>
    </w:p>
    <w:p w14:paraId="3420E1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四、需要对成本核算规则予以进一步明确的其他有关事项，由财政部会同有关部门另</w:t>
      </w:r>
    </w:p>
    <w:p w14:paraId="04791869">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行规定。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4E1640"/>
    <w:rsid w:val="504E1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2026-07-03T08:12:00Z</dcterms:created>
  <dc:creator>某某某</dc:creator>
  <cp:lastModifiedBy>某某某</cp:lastModifiedBy>
  <dcterms:modified xsi:type="dcterms:W3CDTF">2026-07-03T08:13:26Z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73CABF67F5AA42A6A64E3B3D4ED70D60_11</vt:lpwstr>
  </property>
  <property fmtid="{D5CDD505-2E9C-101B-9397-08002B2CF9AE}" pid="4" name="KSOTemplateDocerSaveRecord">
    <vt:lpwstr>eyJoZGlkIjoiMWNmMjMxZDMyNDY2NjA1MTAwZjg3MDQwODU5NTY1OGMiLCJ1c2VySWQiOiI0MDUxMjgwOTAifQ==</vt:lpwstr>
  </property>
</Properties>
</file>