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版本号：HSGJ2026-17420260626001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卫星遥感采集与监管业务能力提升项目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HSGJ2026-174</w:t>
      </w:r>
      <w:r>
        <w:br/>
      </w:r>
      <w:r>
        <w:br/>
      </w:r>
      <w:r>
        <w:br/>
      </w:r>
    </w:p>
    <w:p>
      <w:pPr>
        <w:pStyle w:val="null3"/>
        <w:jc w:val="center"/>
        <w:outlineLvl w:val="2"/>
      </w:pPr>
      <w:r>
        <w:rPr>
          <w:rFonts w:ascii="仿宋_GB2312" w:hAnsi="仿宋_GB2312" w:cs="仿宋_GB2312" w:eastAsia="仿宋_GB2312"/>
          <w:sz w:val="28"/>
          <w:b/>
        </w:rPr>
        <w:t>西安市秦岭生态环境保护管理局（本级）</w:t>
      </w:r>
    </w:p>
    <w:p>
      <w:pPr>
        <w:pStyle w:val="null3"/>
        <w:jc w:val="center"/>
        <w:outlineLvl w:val="2"/>
      </w:pPr>
      <w:r>
        <w:rPr>
          <w:rFonts w:ascii="仿宋_GB2312" w:hAnsi="仿宋_GB2312" w:cs="仿宋_GB2312" w:eastAsia="仿宋_GB2312"/>
          <w:sz w:val="28"/>
          <w:b/>
        </w:rPr>
        <w:t>华晟国际项目管理有限公司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华晟国际项目管理有限公司</w:t>
      </w:r>
      <w:r>
        <w:rPr>
          <w:rFonts w:ascii="仿宋_GB2312" w:hAnsi="仿宋_GB2312" w:cs="仿宋_GB2312" w:eastAsia="仿宋_GB2312"/>
        </w:rPr>
        <w:t>（以下简称“代理机构”）受</w:t>
      </w:r>
      <w:r>
        <w:rPr>
          <w:rFonts w:ascii="仿宋_GB2312" w:hAnsi="仿宋_GB2312" w:cs="仿宋_GB2312" w:eastAsia="仿宋_GB2312"/>
        </w:rPr>
        <w:t>西安市秦岭生态环境保护管理局（本级）</w:t>
      </w:r>
      <w:r>
        <w:rPr>
          <w:rFonts w:ascii="仿宋_GB2312" w:hAnsi="仿宋_GB2312" w:cs="仿宋_GB2312" w:eastAsia="仿宋_GB2312"/>
        </w:rPr>
        <w:t>委托，拟对</w:t>
      </w:r>
      <w:r>
        <w:rPr>
          <w:rFonts w:ascii="仿宋_GB2312" w:hAnsi="仿宋_GB2312" w:cs="仿宋_GB2312" w:eastAsia="仿宋_GB2312"/>
        </w:rPr>
        <w:t>卫星遥感采集与监管业务能力提升项目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HSGJ2026-174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卫星遥感采集与监管业务能力提升项目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卫星遥感采集与监管业务能力提升项目，具体内容详见第三章。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1、有效的主体资格证明：提供具有独立承担民事责任能力的法人、其他组织或自然人，并出具合法有效的相关证明材料</w:t>
      </w:r>
    </w:p>
    <w:p>
      <w:pPr>
        <w:pStyle w:val="null3"/>
      </w:pPr>
      <w:r>
        <w:rPr>
          <w:rFonts w:ascii="仿宋_GB2312" w:hAnsi="仿宋_GB2312" w:cs="仿宋_GB2312" w:eastAsia="仿宋_GB2312"/>
        </w:rPr>
        <w:t>2、财务状况报告：供应商提供经审计的2025年度完整有效的财务报告（财务报告是指经会计师事务所审计的上述指定年度整个会计年度财务报表,复印件至少须包括报告正文、资产负债表、现金流量表、利润表、附注和会计师事务所营业执照，报告正文应当有会计师事务所公章和2名注册会计师的签字及盖章。且审计报告应当在注册会计师行业统一监管平台备案赋码）或在开标日期前六个月内其开户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3、税收缴纳证明：提供2026年1月1日至今已缴纳任意一个月的纳税证明或完税证明（任意税种），依法免税的单位应提供相关证明材料</w:t>
      </w:r>
    </w:p>
    <w:p>
      <w:pPr>
        <w:pStyle w:val="null3"/>
      </w:pPr>
      <w:r>
        <w:rPr>
          <w:rFonts w:ascii="仿宋_GB2312" w:hAnsi="仿宋_GB2312" w:cs="仿宋_GB2312" w:eastAsia="仿宋_GB2312"/>
        </w:rPr>
        <w:t>4、社会保障资金缴纳证明：提供2026年1月1日至今已缴纳任意一个月的社会保障资金缴存单据或社保机构开具的社会保险参保缴费情况证明，依法不需要缴纳社会保障资金的单位应提供相关证明材料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5、无重大违法记录声明：参加政府采购活动前三年内，在经营活动中没有重大违法记录的书面声明（成立时间至提交响应文件截止时间不足三年的可提供成立至今的书面声明）</w:t>
      </w:r>
    </w:p>
    <w:p>
      <w:pPr>
        <w:pStyle w:val="null3"/>
      </w:pPr>
      <w:r>
        <w:rPr>
          <w:rFonts w:ascii="仿宋_GB2312" w:hAnsi="仿宋_GB2312" w:cs="仿宋_GB2312" w:eastAsia="仿宋_GB2312"/>
        </w:rPr>
        <w:t>6、专业技术能力证明：提供具有履行合同所必需的设备和专业技术能力的承诺</w:t>
      </w:r>
    </w:p>
    <w:p>
      <w:pPr>
        <w:pStyle w:val="null3"/>
      </w:pPr>
      <w:r>
        <w:rPr>
          <w:rFonts w:ascii="仿宋_GB2312" w:hAnsi="仿宋_GB2312" w:cs="仿宋_GB2312" w:eastAsia="仿宋_GB2312"/>
        </w:rPr>
        <w:t>7、资质证书：供应商应具有自然资源行政主管部门颁发的测绘乙级及以上资质证书（专业类别包含测绘航空摄影、摄影测量与遥感、地理信息系统工程）</w:t>
      </w:r>
    </w:p>
    <w:p>
      <w:pPr>
        <w:pStyle w:val="null3"/>
      </w:pPr>
      <w:r>
        <w:rPr>
          <w:rFonts w:ascii="仿宋_GB2312" w:hAnsi="仿宋_GB2312" w:cs="仿宋_GB2312" w:eastAsia="仿宋_GB2312"/>
        </w:rPr>
        <w:t>8、法定代表人授权委托书\身份证明：非法定代表人参加投标的，须提供法定代表人授权委托书、授权代表身份证、授权代表提供在投标单位缴纳的社保记录（近3个月内任意一个月，提交投标文件截止时间当月不计入）；法定代表人参加投标时,只需提供法定代表人身份证</w:t>
      </w:r>
    </w:p>
    <w:p>
      <w:pPr>
        <w:pStyle w:val="null3"/>
      </w:pPr>
      <w:r>
        <w:rPr>
          <w:rFonts w:ascii="仿宋_GB2312" w:hAnsi="仿宋_GB2312" w:cs="仿宋_GB2312" w:eastAsia="仿宋_GB2312"/>
        </w:rPr>
        <w:t>9、信用查询：供应商不得为“信用中国(www.creditchina.gov.cn)”中列入失信被执行人和重大税收违法案件当事人名单的供应商，不得为“中国政府采购网(www.ccgp.gov.cn)”政府采购严重违法失信行为记录名单中被财政部门禁止参加政府采购活动的供应商（采购代理机构查询时限为响应文件递交截止之日）</w:t>
      </w:r>
    </w:p>
    <w:p>
      <w:pPr>
        <w:pStyle w:val="null3"/>
      </w:pPr>
      <w:r>
        <w:rPr>
          <w:rFonts w:ascii="仿宋_GB2312" w:hAnsi="仿宋_GB2312" w:cs="仿宋_GB2312" w:eastAsia="仿宋_GB2312"/>
        </w:rPr>
        <w:t>10、关联关系：单位负责人为同一人或者存在直接控股、管理关系的不同供应商，不得参加同一合同项下的政府采购活动</w:t>
      </w:r>
    </w:p>
    <w:p>
      <w:pPr>
        <w:pStyle w:val="null3"/>
      </w:pPr>
      <w:r>
        <w:rPr>
          <w:rFonts w:ascii="仿宋_GB2312" w:hAnsi="仿宋_GB2312" w:cs="仿宋_GB2312" w:eastAsia="仿宋_GB2312"/>
        </w:rPr>
        <w:t>11、联合体情况：本项目不接受联合体投标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西安市秦岭生态环境保护管理局（本级）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西安市长安区关中环线子午段2345号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雷老师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029-89801382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华晟国际项目管理有限公司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西安市高新区高新路88号尚品国际B幢25层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曹美奇、杨阳、付越豪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029-81779899转8013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采购包1：4,890,000.00元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代理服务费收费标准：按照国家计委颁布的《招标代理服务收费管理暂行办法》（计价格『2002』1980号）及发改办价格『2003』857号文规定按服务类收取代理服务费。 银行户名：华晟国际项目管理有限公司开户银行：建设银行西安劳动路支行 账号：61050174001500000427 转账事由：HSGJ2026-174项目代理服务费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西安市秦岭生态环境保护管理局（本级）</w:t>
      </w:r>
      <w:r>
        <w:rPr>
          <w:rFonts w:ascii="仿宋_GB2312" w:hAnsi="仿宋_GB2312" w:cs="仿宋_GB2312" w:eastAsia="仿宋_GB2312"/>
        </w:rPr>
        <w:t>和</w:t>
      </w:r>
      <w:r>
        <w:rPr>
          <w:rFonts w:ascii="仿宋_GB2312" w:hAnsi="仿宋_GB2312" w:cs="仿宋_GB2312" w:eastAsia="仿宋_GB2312"/>
        </w:rPr>
        <w:t>华晟国际项目管理有限公司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西安市秦岭生态环境保护管理局（本级）</w:t>
      </w:r>
      <w:r>
        <w:rPr>
          <w:rFonts w:ascii="仿宋_GB2312" w:hAnsi="仿宋_GB2312" w:cs="仿宋_GB2312" w:eastAsia="仿宋_GB2312"/>
        </w:rPr>
        <w:t>负责解释。除上述招标文件内容，其他内容由</w:t>
      </w:r>
      <w:r>
        <w:rPr>
          <w:rFonts w:ascii="仿宋_GB2312" w:hAnsi="仿宋_GB2312" w:cs="仿宋_GB2312" w:eastAsia="仿宋_GB2312"/>
        </w:rPr>
        <w:t>华晟国际项目管理有限公司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西安市秦岭生态环境保护管理局（本级）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华晟国际项目管理有限公司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本项目实施过程中产生的全部成果（包括但不限于监测数据、分析报告、算法模型、影像库、三维模型等）的所有知识产权、所有权及衍生权益均归甲方独家所有，乙方仅享有为履行本合同必要的使用权，不得擅自使用、复制、披露或许可第三方使用上述成果。乙方应保证投标服务及货物不会出现因第三方提出侵犯其专利权、商标权或其它知识产权而引发法律或经济纠纷，否则由乙方承担全部责任。任何被乙方用于未经授权的商业目的行为所造成的违约或侵权责任由乙方承担。</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1.项目验收由甲方或其委托的专家或第三方机构对项目进行验收，验收时，乙方应无条件予以配合并提供所需的全部文件；验收不合格的，书面通知乙方限期整改，整改完成后乙方可重新申请验收。 2.验收依据：招标文件、投标文件、合同文本、国内相应的标准、规范。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联系人：曹美奇、杨阳、付越豪</w:t>
      </w:r>
    </w:p>
    <w:p>
      <w:pPr>
        <w:pStyle w:val="null3"/>
      </w:pPr>
      <w:r>
        <w:rPr>
          <w:rFonts w:ascii="仿宋_GB2312" w:hAnsi="仿宋_GB2312" w:cs="仿宋_GB2312" w:eastAsia="仿宋_GB2312"/>
        </w:rPr>
        <w:t>联系电话：029-81779899转8013</w:t>
      </w:r>
    </w:p>
    <w:p>
      <w:pPr>
        <w:pStyle w:val="null3"/>
      </w:pPr>
      <w:r>
        <w:rPr>
          <w:rFonts w:ascii="仿宋_GB2312" w:hAnsi="仿宋_GB2312" w:cs="仿宋_GB2312" w:eastAsia="仿宋_GB2312"/>
        </w:rPr>
        <w:t>地址：西安市高新区高新路88号尚品国际B幢25层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强化西安市秦岭生态环境保护与空间治理能力，2026-2027年实施卫星遥感采集与监管业务能力提升项目，以卫星遥感数据为基础，结合倾斜摄影测量、GIS分析等技术辅助疑似问题线索核查，提升数据采集、问题识别、系统应用的全流程业务监管能力，为西安市秦岭区域生态环境保护与高质量发展提供有力数据支撑。具体包括卫星遥感影像图斑监测、重点问题核查、遥感影像库建设、典型场景三维模型构建、湿地监测、功能开发、森林病虫害监测等。</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4,890,000.00</w:t>
      </w:r>
    </w:p>
    <w:p>
      <w:pPr>
        <w:pStyle w:val="null3"/>
      </w:pPr>
      <w:r>
        <w:rPr>
          <w:rFonts w:ascii="仿宋_GB2312" w:hAnsi="仿宋_GB2312" w:cs="仿宋_GB2312" w:eastAsia="仿宋_GB2312"/>
        </w:rPr>
        <w:t>采购包最高限价（元）: 4,890,000.00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卫星遥感采集与监管业务能力提升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4,890,000.00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标的名称：卫星遥感采集与监管业务能力提升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rPr>
              <w:t>一、项目建设主要目标</w:t>
            </w:r>
          </w:p>
          <w:p>
            <w:pPr>
              <w:pStyle w:val="null3"/>
            </w:pPr>
            <w:r>
              <w:rPr>
                <w:rFonts w:ascii="仿宋_GB2312" w:hAnsi="仿宋_GB2312" w:cs="仿宋_GB2312" w:eastAsia="仿宋_GB2312"/>
              </w:rPr>
              <w:t xml:space="preserve">    为强化西安市秦岭生态环境保护与空间治理能</w:t>
            </w:r>
            <w:r>
              <w:rPr>
                <w:rFonts w:ascii="仿宋_GB2312" w:hAnsi="仿宋_GB2312" w:cs="仿宋_GB2312" w:eastAsia="仿宋_GB2312"/>
              </w:rPr>
              <w:t>力，</w:t>
            </w:r>
            <w:r>
              <w:rPr>
                <w:rFonts w:ascii="仿宋_GB2312" w:hAnsi="仿宋_GB2312" w:cs="仿宋_GB2312" w:eastAsia="仿宋_GB2312"/>
              </w:rPr>
              <w:t>2026-2027年实施卫星遥感采集与监管业务能力提升项目，以卫星遥感数据为基础，结合倾斜摄影测量、GIS分析等技术辅助疑似</w:t>
            </w:r>
            <w:r>
              <w:rPr>
                <w:rFonts w:ascii="仿宋_GB2312" w:hAnsi="仿宋_GB2312" w:cs="仿宋_GB2312" w:eastAsia="仿宋_GB2312"/>
              </w:rPr>
              <w:t>问题线索核查，提升数据采集、问题识别、系统应用的全流程业务监管能力，为西安市秦岭区域生态环境保护与高质量发展提供有力数据支撑。具体包括卫星遥感影像图斑监测、重点问题核查、遥感影像库建设、典型场景三维模型构建、湿地监测、功能开发、森林病虫害监测等。</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b/>
              </w:rPr>
              <w:t>二、项目建设主要内容</w:t>
            </w:r>
          </w:p>
          <w:p>
            <w:pPr>
              <w:pStyle w:val="null3"/>
            </w:pPr>
            <w:r>
              <w:rPr>
                <w:rFonts w:ascii="仿宋_GB2312" w:hAnsi="仿宋_GB2312" w:cs="仿宋_GB2312" w:eastAsia="仿宋_GB2312"/>
              </w:rPr>
              <w:t>1.卫星遥感影像图斑监测</w:t>
            </w:r>
          </w:p>
          <w:p>
            <w:pPr>
              <w:pStyle w:val="null3"/>
            </w:pPr>
            <w:r>
              <w:rPr>
                <w:rFonts w:ascii="仿宋_GB2312" w:hAnsi="仿宋_GB2312" w:cs="仿宋_GB2312" w:eastAsia="仿宋_GB2312"/>
              </w:rPr>
              <w:t xml:space="preserve">    围绕西安市秦岭生态环境保护范围（含核心保护区、重点保护区、一般保护区及建设控制地带），利用卫星遥感影像开展常态化图斑监测，实现对</w:t>
            </w:r>
            <w:r>
              <w:rPr>
                <w:rFonts w:ascii="仿宋_GB2312" w:hAnsi="仿宋_GB2312" w:cs="仿宋_GB2312" w:eastAsia="仿宋_GB2312"/>
              </w:rPr>
              <w:t>“五乱”等生态环境破坏问题的变化发现，并对取证核查图斑进行全量审核，从严审核资料完整性、合规性与真实性，推动各类问题快速核实、及时处置。工作内容包括图斑监测、图斑审核两部分，分2026、2027年两期完成，具体如下：</w:t>
            </w:r>
          </w:p>
          <w:p>
            <w:pPr>
              <w:pStyle w:val="null3"/>
            </w:pPr>
            <w:r>
              <w:rPr>
                <w:rFonts w:ascii="仿宋_GB2312" w:hAnsi="仿宋_GB2312" w:cs="仿宋_GB2312" w:eastAsia="仿宋_GB2312"/>
              </w:rPr>
              <w:t xml:space="preserve">    完成</w:t>
            </w:r>
            <w:r>
              <w:rPr>
                <w:rFonts w:ascii="仿宋_GB2312" w:hAnsi="仿宋_GB2312" w:cs="仿宋_GB2312" w:eastAsia="仿宋_GB2312"/>
              </w:rPr>
              <w:t>2026年度8-12月的西安市秦岭区域卫星遥感影像图斑监测和图斑审核工作。采用亚米级遥感卫星影像（1期）、非亚米级遥感影像（4期）、重点区域0.5米分辨率卫星遥感影像（1期），完成5期影像处理、疑似问题图斑监测及平台发布。开展对应5期疑似问题图斑审核工作。</w:t>
            </w:r>
          </w:p>
          <w:p>
            <w:pPr>
              <w:pStyle w:val="null3"/>
            </w:pPr>
            <w:r>
              <w:rPr>
                <w:rFonts w:ascii="仿宋_GB2312" w:hAnsi="仿宋_GB2312" w:cs="仿宋_GB2312" w:eastAsia="仿宋_GB2312"/>
              </w:rPr>
              <w:t xml:space="preserve">    完成</w:t>
            </w:r>
            <w:r>
              <w:rPr>
                <w:rFonts w:ascii="仿宋_GB2312" w:hAnsi="仿宋_GB2312" w:cs="仿宋_GB2312" w:eastAsia="仿宋_GB2312"/>
              </w:rPr>
              <w:t>2027年度1-7月的西安市秦岭区域卫星遥感影像图斑监测</w:t>
            </w:r>
            <w:r>
              <w:rPr>
                <w:rFonts w:ascii="仿宋_GB2312" w:hAnsi="仿宋_GB2312" w:cs="仿宋_GB2312" w:eastAsia="仿宋_GB2312"/>
              </w:rPr>
              <w:t>与报告编制、图斑审核</w:t>
            </w:r>
            <w:r>
              <w:rPr>
                <w:rFonts w:ascii="仿宋_GB2312" w:hAnsi="仿宋_GB2312" w:cs="仿宋_GB2312" w:eastAsia="仿宋_GB2312"/>
              </w:rPr>
              <w:t>工作。采用亚米级遥感卫星影像（</w:t>
            </w:r>
            <w:r>
              <w:rPr>
                <w:rFonts w:ascii="仿宋_GB2312" w:hAnsi="仿宋_GB2312" w:cs="仿宋_GB2312" w:eastAsia="仿宋_GB2312"/>
              </w:rPr>
              <w:t>1期）、非亚米级遥感影像（6期）、重点区域0.5米分辨率卫星遥感影像（1期），完成7期影像处理、疑似问题图斑监测及平台发布，并对2025-2026年共计12期监测成果进行分析，形成统计分析报告。开展</w:t>
            </w:r>
            <w:r>
              <w:rPr>
                <w:rFonts w:ascii="仿宋_GB2312" w:hAnsi="仿宋_GB2312" w:cs="仿宋_GB2312" w:eastAsia="仿宋_GB2312"/>
              </w:rPr>
              <w:t>对应</w:t>
            </w:r>
            <w:r>
              <w:rPr>
                <w:rFonts w:ascii="仿宋_GB2312" w:hAnsi="仿宋_GB2312" w:cs="仿宋_GB2312" w:eastAsia="仿宋_GB2312"/>
              </w:rPr>
              <w:t>7期疑似问题图斑审核工作。</w:t>
            </w:r>
          </w:p>
          <w:p>
            <w:pPr>
              <w:pStyle w:val="null3"/>
            </w:pPr>
            <w:r>
              <w:rPr>
                <w:rFonts w:ascii="仿宋_GB2312" w:hAnsi="仿宋_GB2312" w:cs="仿宋_GB2312" w:eastAsia="仿宋_GB2312"/>
              </w:rPr>
              <w:t>2</w:t>
            </w:r>
            <w:r>
              <w:rPr>
                <w:rFonts w:ascii="仿宋_GB2312" w:hAnsi="仿宋_GB2312" w:cs="仿宋_GB2312" w:eastAsia="仿宋_GB2312"/>
              </w:rPr>
              <w:t>.重点问题核查</w:t>
            </w:r>
          </w:p>
          <w:p>
            <w:pPr>
              <w:pStyle w:val="null3"/>
            </w:pPr>
            <w:r>
              <w:rPr>
                <w:rFonts w:ascii="仿宋_GB2312" w:hAnsi="仿宋_GB2312" w:cs="仿宋_GB2312" w:eastAsia="仿宋_GB2312"/>
              </w:rPr>
              <w:t xml:space="preserve">    对省级交办及平台下发的重点问题整理规划底图、审批数据和生态保护红线等专题数据并入库。开展用地类型核查、外业核查和资料整编工作</w:t>
            </w:r>
            <w:r>
              <w:rPr>
                <w:rFonts w:ascii="仿宋_GB2312" w:hAnsi="仿宋_GB2312" w:cs="仿宋_GB2312" w:eastAsia="仿宋_GB2312"/>
              </w:rPr>
              <w:t>，形成内容详实、底数清晰、图文并茂的重点问题资料，辅助重点问题的核处、整改工作。重点问题涉及点位以</w:t>
            </w:r>
            <w:r>
              <w:rPr>
                <w:rFonts w:ascii="仿宋_GB2312" w:hAnsi="仿宋_GB2312" w:cs="仿宋_GB2312" w:eastAsia="仿宋_GB2312"/>
              </w:rPr>
              <w:t>20为计。</w:t>
            </w:r>
          </w:p>
          <w:p>
            <w:pPr>
              <w:pStyle w:val="null3"/>
            </w:pPr>
            <w:r>
              <w:rPr>
                <w:rFonts w:ascii="仿宋_GB2312" w:hAnsi="仿宋_GB2312" w:cs="仿宋_GB2312" w:eastAsia="仿宋_GB2312"/>
              </w:rPr>
              <w:t>3</w:t>
            </w:r>
            <w:r>
              <w:rPr>
                <w:rFonts w:ascii="仿宋_GB2312" w:hAnsi="仿宋_GB2312" w:cs="仿宋_GB2312" w:eastAsia="仿宋_GB2312"/>
              </w:rPr>
              <w:t>.遥感影像库建设</w:t>
            </w:r>
          </w:p>
          <w:p>
            <w:pPr>
              <w:pStyle w:val="null3"/>
            </w:pPr>
            <w:r>
              <w:rPr>
                <w:rFonts w:ascii="仿宋_GB2312" w:hAnsi="仿宋_GB2312" w:cs="仿宋_GB2312" w:eastAsia="仿宋_GB2312"/>
              </w:rPr>
              <w:t xml:space="preserve">    构建遥感影像库，统一数据格式、坐标系与存储标准，形成结构化、可检索、可更新的西安市秦岭全域遥感影像资源库，保障影像数据完整、安全、可用，为后续</w:t>
            </w:r>
            <w:r>
              <w:rPr>
                <w:rFonts w:ascii="仿宋_GB2312" w:hAnsi="仿宋_GB2312" w:cs="仿宋_GB2312" w:eastAsia="仿宋_GB2312"/>
              </w:rPr>
              <w:t>AI模型训练、动态变化监测、生态分析研判提供基础数据底座。完成2023-2026年每年1期的遥感影像建库入库工作。</w:t>
            </w:r>
          </w:p>
          <w:p>
            <w:pPr>
              <w:pStyle w:val="null3"/>
            </w:pPr>
            <w:r>
              <w:rPr>
                <w:rFonts w:ascii="仿宋_GB2312" w:hAnsi="仿宋_GB2312" w:cs="仿宋_GB2312" w:eastAsia="仿宋_GB2312"/>
              </w:rPr>
              <w:t>4.典型场景三维模型构建</w:t>
            </w:r>
          </w:p>
          <w:p>
            <w:pPr>
              <w:pStyle w:val="null3"/>
            </w:pPr>
            <w:r>
              <w:rPr>
                <w:rFonts w:ascii="仿宋_GB2312" w:hAnsi="仿宋_GB2312" w:cs="仿宋_GB2312" w:eastAsia="仿宋_GB2312"/>
              </w:rPr>
              <w:t xml:space="preserve">    开展西安市秦岭</w:t>
            </w:r>
            <w:r>
              <w:rPr>
                <w:rFonts w:ascii="仿宋_GB2312" w:hAnsi="仿宋_GB2312" w:cs="仿宋_GB2312" w:eastAsia="仿宋_GB2312"/>
              </w:rPr>
              <w:t>重点</w:t>
            </w:r>
            <w:r>
              <w:rPr>
                <w:rFonts w:ascii="仿宋_GB2312" w:hAnsi="仿宋_GB2312" w:cs="仿宋_GB2312" w:eastAsia="仿宋_GB2312"/>
              </w:rPr>
              <w:t>区域典型场景三维模型构建工作，选取冰晶顶</w:t>
            </w:r>
            <w:r>
              <w:rPr>
                <w:rFonts w:ascii="仿宋_GB2312" w:hAnsi="仿宋_GB2312" w:cs="仿宋_GB2312" w:eastAsia="仿宋_GB2312"/>
              </w:rPr>
              <w:t>-光头山高海拔自然山体、圭峰山地貌景观、北麓部分违建别墅整治结果等具有代表性的区域，采用卫星立体影像实景三维建模技术，完成约</w:t>
            </w:r>
            <w:r>
              <w:rPr>
                <w:rFonts w:ascii="仿宋_GB2312" w:hAnsi="仿宋_GB2312" w:cs="仿宋_GB2312" w:eastAsia="仿宋_GB2312"/>
              </w:rPr>
              <w:t>200</w:t>
            </w:r>
            <w:r>
              <w:rPr>
                <w:rFonts w:ascii="仿宋_GB2312" w:hAnsi="仿宋_GB2312" w:cs="仿宋_GB2312" w:eastAsia="仿宋_GB2312"/>
              </w:rPr>
              <w:t>平方公里多场景三维模型建设。</w:t>
            </w:r>
          </w:p>
          <w:p>
            <w:pPr>
              <w:pStyle w:val="null3"/>
            </w:pPr>
            <w:r>
              <w:rPr>
                <w:rFonts w:ascii="仿宋_GB2312" w:hAnsi="仿宋_GB2312" w:cs="仿宋_GB2312" w:eastAsia="仿宋_GB2312"/>
              </w:rPr>
              <w:t>5</w:t>
            </w:r>
            <w:r>
              <w:rPr>
                <w:rFonts w:ascii="仿宋_GB2312" w:hAnsi="仿宋_GB2312" w:cs="仿宋_GB2312" w:eastAsia="仿宋_GB2312"/>
              </w:rPr>
              <w:t>.湿地监测</w:t>
            </w:r>
          </w:p>
          <w:p>
            <w:pPr>
              <w:pStyle w:val="null3"/>
            </w:pPr>
            <w:r>
              <w:rPr>
                <w:rFonts w:ascii="仿宋_GB2312" w:hAnsi="仿宋_GB2312" w:cs="仿宋_GB2312" w:eastAsia="仿宋_GB2312"/>
              </w:rPr>
              <w:t xml:space="preserve">    通过</w:t>
            </w:r>
            <w:r>
              <w:rPr>
                <w:rFonts w:ascii="仿宋_GB2312" w:hAnsi="仿宋_GB2312" w:cs="仿宋_GB2312" w:eastAsia="仿宋_GB2312"/>
              </w:rPr>
              <w:t>亚米影像</w:t>
            </w:r>
            <w:r>
              <w:rPr>
                <w:rFonts w:ascii="仿宋_GB2312" w:hAnsi="仿宋_GB2312" w:cs="仿宋_GB2312" w:eastAsia="仿宋_GB2312"/>
              </w:rPr>
              <w:t>对比分析</w:t>
            </w:r>
            <w:r>
              <w:rPr>
                <w:rFonts w:ascii="仿宋_GB2312" w:hAnsi="仿宋_GB2312" w:cs="仿宋_GB2312" w:eastAsia="仿宋_GB2312"/>
              </w:rPr>
              <w:t>，开展西安市秦岭</w:t>
            </w:r>
            <w:r>
              <w:rPr>
                <w:rFonts w:ascii="仿宋_GB2312" w:hAnsi="仿宋_GB2312" w:cs="仿宋_GB2312" w:eastAsia="仿宋_GB2312"/>
              </w:rPr>
              <w:t>重点</w:t>
            </w:r>
            <w:r>
              <w:rPr>
                <w:rFonts w:ascii="仿宋_GB2312" w:hAnsi="仿宋_GB2312" w:cs="仿宋_GB2312" w:eastAsia="仿宋_GB2312"/>
              </w:rPr>
              <w:t>区域湿地动态变化监测，</w:t>
            </w:r>
            <w:r>
              <w:rPr>
                <w:rFonts w:ascii="仿宋_GB2312" w:hAnsi="仿宋_GB2312" w:cs="仿宋_GB2312" w:eastAsia="仿宋_GB2312"/>
              </w:rPr>
              <w:t>提取湿地变化图斑。</w:t>
            </w:r>
            <w:r>
              <w:rPr>
                <w:rFonts w:ascii="仿宋_GB2312" w:hAnsi="仿宋_GB2312" w:cs="仿宋_GB2312" w:eastAsia="仿宋_GB2312"/>
              </w:rPr>
              <w:t>并依据已报批用地数据开展变化图斑用地类型核查分析，全面掌握湿地资源动态变化情况</w:t>
            </w:r>
            <w:r>
              <w:rPr>
                <w:rFonts w:ascii="仿宋_GB2312" w:hAnsi="仿宋_GB2312" w:cs="仿宋_GB2312" w:eastAsia="仿宋_GB2312"/>
              </w:rPr>
              <w:t>。</w:t>
            </w:r>
            <w:r>
              <w:rPr>
                <w:rFonts w:ascii="仿宋_GB2312" w:hAnsi="仿宋_GB2312" w:cs="仿宋_GB2312" w:eastAsia="仿宋_GB2312"/>
              </w:rPr>
              <w:t>完成</w:t>
            </w:r>
            <w:r>
              <w:rPr>
                <w:rFonts w:ascii="仿宋_GB2312" w:hAnsi="仿宋_GB2312" w:cs="仿宋_GB2312" w:eastAsia="仿宋_GB2312"/>
              </w:rPr>
              <w:t>2期湿地变化监测</w:t>
            </w:r>
            <w:r>
              <w:rPr>
                <w:rFonts w:ascii="仿宋_GB2312" w:hAnsi="仿宋_GB2312" w:cs="仿宋_GB2312" w:eastAsia="仿宋_GB2312"/>
              </w:rPr>
              <w:t>工作。</w:t>
            </w:r>
          </w:p>
          <w:p>
            <w:pPr>
              <w:pStyle w:val="null3"/>
            </w:pPr>
            <w:r>
              <w:rPr>
                <w:rFonts w:ascii="仿宋_GB2312" w:hAnsi="仿宋_GB2312" w:cs="仿宋_GB2312" w:eastAsia="仿宋_GB2312"/>
              </w:rPr>
              <w:t>6.功能开发</w:t>
            </w:r>
          </w:p>
          <w:p>
            <w:pPr>
              <w:pStyle w:val="null3"/>
            </w:pPr>
            <w:r>
              <w:rPr>
                <w:rFonts w:ascii="仿宋_GB2312" w:hAnsi="仿宋_GB2312" w:cs="仿宋_GB2312" w:eastAsia="仿宋_GB2312"/>
              </w:rPr>
              <w:t xml:space="preserve">    开发用地核查规则算法和自动化报告功能。</w:t>
            </w:r>
            <w:r>
              <w:rPr>
                <w:rFonts w:ascii="仿宋_GB2312" w:hAnsi="仿宋_GB2312" w:cs="仿宋_GB2312" w:eastAsia="仿宋_GB2312"/>
              </w:rPr>
              <w:t>利用秦岭保护基础数据、专题数据等设计用地核查规则，开发核查算法，并实现核查报告自动化生成。</w:t>
            </w:r>
          </w:p>
          <w:p>
            <w:pPr>
              <w:pStyle w:val="null3"/>
            </w:pPr>
            <w:r>
              <w:rPr>
                <w:rFonts w:ascii="仿宋_GB2312" w:hAnsi="仿宋_GB2312" w:cs="仿宋_GB2312" w:eastAsia="仿宋_GB2312"/>
              </w:rPr>
              <w:t>7.森林病虫害监测</w:t>
            </w:r>
          </w:p>
          <w:p>
            <w:pPr>
              <w:pStyle w:val="null3"/>
            </w:pPr>
            <w:r>
              <w:rPr>
                <w:rFonts w:ascii="仿宋_GB2312" w:hAnsi="仿宋_GB2312" w:cs="仿宋_GB2312" w:eastAsia="仿宋_GB2312"/>
              </w:rPr>
              <w:t xml:space="preserve">    完成西安市秦岭重</w:t>
            </w:r>
            <w:r>
              <w:rPr>
                <w:rFonts w:ascii="仿宋_GB2312" w:hAnsi="仿宋_GB2312" w:cs="仿宋_GB2312" w:eastAsia="仿宋_GB2312"/>
              </w:rPr>
              <w:t>点区域约</w:t>
            </w:r>
            <w:r>
              <w:rPr>
                <w:rFonts w:ascii="仿宋_GB2312" w:hAnsi="仿宋_GB2312" w:cs="仿宋_GB2312" w:eastAsia="仿宋_GB2312"/>
              </w:rPr>
              <w:t>1586平方公里的松科植物及枯死/变色立木卫星遥感普查。获取2026年6—7月基准期和2026年9月对比期优于0.5米高分辨率卫星影像，局部区域因客观原因可采用0.5米高分辨率卫星影像</w:t>
            </w:r>
            <w:r>
              <w:rPr>
                <w:rFonts w:ascii="仿宋_GB2312" w:hAnsi="仿宋_GB2312" w:cs="仿宋_GB2312" w:eastAsia="仿宋_GB2312"/>
              </w:rPr>
              <w:t>补漏。影像经处理后开展松科植物本底分布识别、疑似枯死</w:t>
            </w:r>
            <w:r>
              <w:rPr>
                <w:rFonts w:ascii="仿宋_GB2312" w:hAnsi="仿宋_GB2312" w:cs="仿宋_GB2312" w:eastAsia="仿宋_GB2312"/>
              </w:rPr>
              <w:t>/变色立木图斑提取与人工复核、双时相变化检测等工作。验证采用无人机航测结合</w:t>
            </w:r>
            <w:r>
              <w:rPr>
                <w:rFonts w:ascii="仿宋_GB2312" w:hAnsi="仿宋_GB2312" w:cs="仿宋_GB2312" w:eastAsia="仿宋_GB2312"/>
              </w:rPr>
              <w:t>地面样方</w:t>
            </w:r>
            <w:r>
              <w:rPr>
                <w:rFonts w:ascii="仿宋_GB2312" w:hAnsi="仿宋_GB2312" w:cs="仿宋_GB2312" w:eastAsia="仿宋_GB2312"/>
              </w:rPr>
              <w:t>验证的方式。成果需与林业小班进行空间关联、小班落图、统计汇总和图件表达。</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三、</w:t>
            </w:r>
            <w:r>
              <w:rPr>
                <w:rFonts w:ascii="仿宋_GB2312" w:hAnsi="仿宋_GB2312" w:cs="仿宋_GB2312" w:eastAsia="仿宋_GB2312"/>
                <w:b/>
              </w:rPr>
              <w:t>项目需求</w:t>
            </w:r>
          </w:p>
          <w:tbl>
            <w:tblPr>
              <w:tblInd w:type="dxa" w:w="120"/>
              <w:tblBorders>
                <w:top w:val="none" w:color="000000" w:sz="4"/>
                <w:left w:val="none" w:color="000000" w:sz="4"/>
                <w:bottom w:val="none" w:color="000000" w:sz="4"/>
                <w:right w:val="none" w:color="000000" w:sz="4"/>
                <w:insideH w:val="none"/>
                <w:insideV w:val="none"/>
              </w:tblBorders>
            </w:tblPr>
            <w:tblGrid>
              <w:gridCol w:w="271"/>
              <w:gridCol w:w="358"/>
              <w:gridCol w:w="1913"/>
            </w:tblGrid>
            <w:tr>
              <w:tc>
                <w:tcPr>
                  <w:tcW w:type="dxa" w:w="2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建设内容</w:t>
                  </w:r>
                </w:p>
              </w:tc>
              <w:tc>
                <w:tcPr>
                  <w:tcW w:type="dxa" w:w="2271"/>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主要工作</w:t>
                  </w:r>
                </w:p>
              </w:tc>
            </w:tr>
            <w:tr>
              <w:tc>
                <w:tcPr>
                  <w:tcW w:type="dxa" w:w="2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卫星遥感影像图斑监测</w:t>
                  </w:r>
                </w:p>
              </w:tc>
              <w:tc>
                <w:tcPr>
                  <w:tcW w:type="dxa" w:w="35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2026年</w:t>
                  </w:r>
                </w:p>
              </w:tc>
              <w:tc>
                <w:tcPr>
                  <w:tcW w:type="dxa" w:w="19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（1）完成</w:t>
                  </w:r>
                  <w:r>
                    <w:rPr>
                      <w:rFonts w:ascii="仿宋_GB2312" w:hAnsi="仿宋_GB2312" w:cs="仿宋_GB2312" w:eastAsia="仿宋_GB2312"/>
                      <w:sz w:val="19"/>
                      <w:color w:val="000000"/>
                    </w:rPr>
                    <w:t>2026年度8-12月的西安市秦岭区域卫星遥感影像图斑监测工作。采用亚米级遥感卫星影像（1期）、非亚米级遥感影像（4期）、重点区域0.5米分辨率卫星遥感影像（1期），完成5期影像处理、疑似问题图斑监测及平台发布。</w:t>
                  </w:r>
                </w:p>
              </w:tc>
            </w:tr>
            <w:tr>
              <w:tc>
                <w:tcPr>
                  <w:tcW w:type="dxa" w:w="271"/>
                  <w:vMerge/>
                  <w:tcBorders>
                    <w:top w:val="none" w:color="000000" w:sz="4"/>
                    <w:left w:val="single" w:color="000000" w:sz="4"/>
                    <w:bottom w:val="single" w:color="000000" w:sz="4"/>
                    <w:right w:val="single" w:color="000000" w:sz="4"/>
                  </w:tcBorders>
                </w:tcPr>
                <w:p/>
              </w:tc>
              <w:tc>
                <w:tcPr>
                  <w:tcW w:type="dxa" w:w="358"/>
                  <w:vMerge/>
                  <w:tcBorders>
                    <w:top w:val="none" w:color="000000" w:sz="4"/>
                    <w:left w:val="none" w:color="000000" w:sz="4"/>
                    <w:bottom w:val="single" w:color="000000" w:sz="4"/>
                    <w:right w:val="single" w:color="000000" w:sz="4"/>
                  </w:tcBorders>
                </w:tcPr>
                <w:p/>
              </w:tc>
              <w:tc>
                <w:tcPr>
                  <w:tcW w:type="dxa" w:w="1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（2）开展5期疑似问题图斑审核工作。对5期疑似问题图斑取证结果、审批手续等各类佐证资料进行100%核查，从严审核资料完整性、合规性与真实性,推动各类问题快速核实、及时处置。</w:t>
                  </w:r>
                </w:p>
              </w:tc>
            </w:tr>
            <w:tr>
              <w:tc>
                <w:tcPr>
                  <w:tcW w:type="dxa" w:w="271"/>
                  <w:vMerge/>
                  <w:tcBorders>
                    <w:top w:val="none" w:color="000000" w:sz="4"/>
                    <w:left w:val="single" w:color="000000" w:sz="4"/>
                    <w:bottom w:val="single" w:color="000000" w:sz="4"/>
                    <w:right w:val="single" w:color="000000" w:sz="4"/>
                  </w:tcBorders>
                </w:tcPr>
                <w:p/>
              </w:tc>
              <w:tc>
                <w:tcPr>
                  <w:tcW w:type="dxa" w:w="35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2027年</w:t>
                  </w:r>
                </w:p>
              </w:tc>
              <w:tc>
                <w:tcPr>
                  <w:tcW w:type="dxa" w:w="1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完成2027年度1-7月的西安市秦岭区域卫星遥感影像图斑监测工作。采用亚米级遥感卫星影像（1期）、非亚米级遥感影像（6期）、重点区域0.5米分辨率卫星遥感影像（1期），完成7期影像处理、疑似问题图斑监测及平台发布，并对2026-2027年共计12期监测成果进行分析，形成统计分析报告。</w:t>
                  </w:r>
                </w:p>
              </w:tc>
            </w:tr>
            <w:tr>
              <w:tc>
                <w:tcPr>
                  <w:tcW w:type="dxa" w:w="271"/>
                  <w:vMerge/>
                  <w:tcBorders>
                    <w:top w:val="none" w:color="000000" w:sz="4"/>
                    <w:left w:val="single" w:color="000000" w:sz="4"/>
                    <w:bottom w:val="single" w:color="000000" w:sz="4"/>
                    <w:right w:val="single" w:color="000000" w:sz="4"/>
                  </w:tcBorders>
                </w:tcPr>
                <w:p/>
              </w:tc>
              <w:tc>
                <w:tcPr>
                  <w:tcW w:type="dxa" w:w="358"/>
                  <w:vMerge/>
                  <w:tcBorders>
                    <w:top w:val="none" w:color="000000" w:sz="4"/>
                    <w:left w:val="none" w:color="000000" w:sz="4"/>
                    <w:bottom w:val="single" w:color="000000" w:sz="4"/>
                    <w:right w:val="single" w:color="000000" w:sz="4"/>
                  </w:tcBorders>
                </w:tcPr>
                <w:p/>
              </w:tc>
              <w:tc>
                <w:tcPr>
                  <w:tcW w:type="dxa" w:w="1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（2）开展7期疑似问题图斑审核工作。对7期疑似问题图斑取证结果、审批手续等各类佐证资料进行100%核查，从严审核资料完整性、合规性与真实性,推动各类问题快速核实、及时处置。</w:t>
                  </w:r>
                </w:p>
              </w:tc>
            </w:tr>
            <w:tr>
              <w:tc>
                <w:tcPr>
                  <w:tcW w:type="dxa" w:w="271"/>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重点问题核查</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2027年</w:t>
                  </w:r>
                </w:p>
              </w:tc>
              <w:tc>
                <w:tcPr>
                  <w:tcW w:type="dxa" w:w="1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对省级交办及平台下发的重点问题整理规划底图、审批数据和生态保护红线等专题数据并入库。开展用地类型核查、</w:t>
                  </w:r>
                  <w:r>
                    <w:rPr>
                      <w:rFonts w:ascii="仿宋_GB2312" w:hAnsi="仿宋_GB2312" w:cs="仿宋_GB2312" w:eastAsia="仿宋_GB2312"/>
                      <w:sz w:val="19"/>
                      <w:color w:val="000000"/>
                    </w:rPr>
                    <w:t>外业核查和资料整编</w:t>
                  </w:r>
                  <w:r>
                    <w:rPr>
                      <w:rFonts w:ascii="仿宋_GB2312" w:hAnsi="仿宋_GB2312" w:cs="仿宋_GB2312" w:eastAsia="仿宋_GB2312"/>
                      <w:sz w:val="19"/>
                      <w:color w:val="000000"/>
                    </w:rPr>
                    <w:t>工作，覆盖点位20个。</w:t>
                  </w:r>
                </w:p>
              </w:tc>
            </w:tr>
            <w:tr>
              <w:tc>
                <w:tcPr>
                  <w:tcW w:type="dxa" w:w="2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遥感影像库建设</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2027年</w:t>
                  </w:r>
                </w:p>
              </w:tc>
              <w:tc>
                <w:tcPr>
                  <w:tcW w:type="dxa" w:w="1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构建遥感影像库，实现遥感影像数据的2023-2026年4期历史数据建库、查询。</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典型场景三维模型构建</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2027年</w:t>
                  </w:r>
                </w:p>
              </w:tc>
              <w:tc>
                <w:tcPr>
                  <w:tcW w:type="dxa" w:w="1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开展西安市秦岭重点区域典型场景三维模型构建工作，选取冰晶顶-光头山高海拔自然山体、圭峰山地貌景观、北麓部分违建别墅整治结果等具有代表性的区域，采用卫星立体影像实景三维建模技术，完成约200平方公里多场景三维模型建设。</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湿地监测</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2027年</w:t>
                  </w:r>
                </w:p>
              </w:tc>
              <w:tc>
                <w:tcPr>
                  <w:tcW w:type="dxa" w:w="1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根据亚米影像，开展西安市秦岭重点区域湿地动态变化监测，并依据已报批用地数据开展变化图斑用地类型核查分析，完成2期湿地变化监测，全面掌握湿地资源动态变化情况。</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功能开发</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2027年</w:t>
                  </w:r>
                </w:p>
              </w:tc>
              <w:tc>
                <w:tcPr>
                  <w:tcW w:type="dxa" w:w="1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开发用地核查规则算法和自动化报告功能。</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森林病虫害监测</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2026-2027年</w:t>
                  </w:r>
                </w:p>
              </w:tc>
              <w:tc>
                <w:tcPr>
                  <w:tcW w:type="dxa" w:w="1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完成西安市秦岭重点区域约1586平方公里的松科植物及枯死/变色立木卫星遥感普查。获取2026年6—7月基准期和2026年9月对比期优于0.5米高分辨率卫星影像，局部区域因客观原因可采用0.5米高分辨率卫星影像补漏。影像经处理后开展松科植物本底分布识别、疑似枯死/变色立木图斑提取与人工复核、双时相变化检测等工作。验证采用无人机航测结合地面样方验证的方式。成果需与林业小班进行空间关联、小班落图、统计汇总和图件表达。</w:t>
                  </w:r>
                </w:p>
              </w:tc>
            </w:tr>
          </w:tbl>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b/>
              </w:rPr>
              <w:t>四、项目建设周期</w:t>
            </w:r>
          </w:p>
          <w:p>
            <w:pPr>
              <w:pStyle w:val="null3"/>
            </w:pPr>
            <w:r>
              <w:rPr>
                <w:rFonts w:ascii="仿宋_GB2312" w:hAnsi="仿宋_GB2312" w:cs="仿宋_GB2312" w:eastAsia="仿宋_GB2312"/>
                <w:sz w:val="21"/>
              </w:rPr>
              <w:t>服务期限：</w:t>
            </w:r>
            <w:r>
              <w:rPr>
                <w:rFonts w:ascii="仿宋_GB2312" w:hAnsi="仿宋_GB2312" w:cs="仿宋_GB2312" w:eastAsia="仿宋_GB2312"/>
                <w:sz w:val="21"/>
              </w:rPr>
              <w:t>2026年8月-2027年7月。</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投标人根据采购需求配备相关人员。</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投标人根据采购需求配备相关设施设备。</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2026年8月-2027年7月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（一）项目验收由甲方或其委托的专家或第三方机构对项目进行验收，验收时，乙方应无条件予以配合并提供所需的全部文件；验收不合格的，书面通知乙方限期整改，整改完成后乙方可重新申请验收。 （二）验收依据：招标文件、投标文件、合同文本、国内相应的标准、规范。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预付款，合同签订后，达到付款条件起30个工作日内，支付合同总金额的15.0%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进度款，合同履行后，乙方递交第一期监测成果，达到付款条件起30个工作日内，支付合同总金额的25.0%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进度款，合同履行后，乙方递交八期监测成果，向甲方发起中期验收申请，达到付款条件起30个工作日内，支付合同总金额的25.0%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进度款，乙方提交全部合格成果，全部成果经甲方验收合格，达到付款条件起30个工作日内，支付合同总金额的35.0%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1.按照《中华人民共和国民法典》中的相关条款执行。 2.乙方未按合同约定时间提交成果，或提交的成果质量不符合合同、招标文件及国家、行业相关强制性标准要求，甲方有权要求乙方在合理期限内进行修改，乙方修改后仍不满足技术要求或限期内未进行修改的，甲方有权单方终止合同，并要求乙方向甲方支付合同总价款30%的违约金，同时报请监管部门对其违约行为进行追究。 3.乙方依据遥感影像监测时出现问题图斑遗漏(每期3个及以上),网格员巡查发现、市级检查发现，遥感影像监测未发现的(因遥感影像分辨率、时相、问题图斑类型等客观原因所不能判别的图斑除外),甲方有权要求乙方在合理期限内进行核实修改；出现上述遗漏情形的，即视为乙方违约，甲方有权要求乙方承担合同总价款10%的违约金。 4.本合同签订后，乙方无正当理由拒绝履行合同义务，经甲方催告后7日内仍不履行的，甲方可单方解除本合同，并要求乙方向甲方支付合同总价款10%的违约金。 5.若乙方无正当理由逾期递交任意一期监测成果或分析报告，每逾期一日，乙方应向甲方支付当期对应合同价款千分之一的违约金。任意一期监测成果或分析报告递交逾期超过7日的，甲方有权单方解除合同，并要求乙方承担合同总价款10%的违约金。该违约金与前述逾期违约金可同时主张。 6.乙方违反招标文件及本合同关于不得转包、分包的约定，甲方有权单方解除合同，乙方应向甲方支付合同总价款30%的违约金，并赔偿甲方全部损失。</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1.达到付款条件并准备结算前，成交人须开具等额发票给采购人，采购人收到发票后，按照支付约定结算。 2.因本合同产生争议的，由双方协商解决；协商不成的，双方均可向甲方所在地人民法院提起诉讼。 3.根据《陕西省财政厅关于规范政府采购项目评审主观分赋分有关事项的通知》陕财办采函[2026]10号第二条强化评审专家赋分说明及核实义务，内容如下： 采购人、采购代理机构应严格按照《财政部关于进一步规范政府采购评审工作有关问题的通知》(财库[2012]69号)要求，依法细化评审工作程序，对评审数据进行全面校对、核对，重点核查各评审专家主观分项评分与全体评委对应分项平均分的偏离情况，确保评审数据准确、流程合规。经核对，存在以下情形之一的，采购人、采购代理机构应当要求评标委员会根据政府采购法律法规及采购文件载明的评审方法、标准进行再次校对、核对: 1.主观分总分值在15分以下的，评审专家主观分评分偏离全体评委对应主观分平均分20%以上(含本数); 2.主观分总分值在15分(含)至30分的，评审专家主观分评分偏离全体评委对应主观分平均分15%以上(含本数); 3.主观分总分值在30分(含)以上的，评审专家主观分评分偏离全体评委对应主观分平均分10%以上(含本数)。 核对后，评标委员会未确认属于畸高、畸低情形的，采购人、采购代理机构应当场要求各评审专家逐项书面说明扣分理由，说明理由应当充分、明确、有据可查，并完整保存至采购档案。评标委员会确认属于畸高、畸低情形，在评标报告签署前发现的，评标委员会应当场修改评标结果，并在评标报告中详细记载修改原因及过程;在评标报告签署后发现，采购人、采购代理机构应当组织原评标委员会重新评审，重新评审改变评标结果的，须书面报告本级财政部门。 如评审专家未确认属于畸高、畸低情形且未提供充分、合理理由，对该评审专家不予支付评审劳务报酬。</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4.资格证明文件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4.资格证明文件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提供具有独立承担民事责任能力的法人、其他组织或自然人，并出具合法有效的相关证明材料</w:t>
            </w:r>
          </w:p>
        </w:tc>
        <w:tc>
          <w:tcPr>
            <w:tcW w:type="dxa" w:w="1661"/>
          </w:tcPr>
          <w:p>
            <w:pPr>
              <w:pStyle w:val="null3"/>
            </w:pPr>
            <w:r>
              <w:rPr>
                <w:rFonts w:ascii="仿宋_GB2312" w:hAnsi="仿宋_GB2312" w:cs="仿宋_GB2312" w:eastAsia="仿宋_GB2312"/>
              </w:rPr>
              <w:t>4.资格证明文件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提供经审计的2025年度完整有效的财务报告（财务报告是指经会计师事务所审计的上述指定年度整个会计年度财务报表,复印件至少须包括报告正文、资产负债表、现金流量表、利润表、附注和会计师事务所营业执照，报告正文应当有会计师事务所公章和2名注册会计师的签字及盖章。且审计报告应当在注册会计师行业统一监管平台备案赋码）或在开标日期前六个月内其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4.资格证明文件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提供2026年1月1日至今已缴纳任意一个月的纳税证明或完税证明（任意税种），依法免税的单位应提供相关证明材料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4.资格证明文件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提供2026年1月1日至今已缴纳任意一个月的社会保障资金缴存单据或社保机构开具的社会保险参保缴费情况证明，依法不需要缴纳社会保障资金的单位应提供相关证明材料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4.资格证明文件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参加政府采购活动前三年内，在经营活动中没有重大违法记录的书面声明（成立时间至提交响应文件截止时间不足三年的可提供成立至今的书面声明）</w:t>
            </w:r>
          </w:p>
        </w:tc>
        <w:tc>
          <w:tcPr>
            <w:tcW w:type="dxa" w:w="1661"/>
          </w:tcPr>
          <w:p>
            <w:pPr>
              <w:pStyle w:val="null3"/>
            </w:pPr>
            <w:r>
              <w:rPr>
                <w:rFonts w:ascii="仿宋_GB2312" w:hAnsi="仿宋_GB2312" w:cs="仿宋_GB2312" w:eastAsia="仿宋_GB2312"/>
              </w:rPr>
              <w:t>4.资格证明文件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专业技术能力证明</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4.资格证明文件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供应商应具有自然资源行政主管部门颁发的测绘乙级及以上资质证书（专业类别包含测绘航空摄影、摄影测量与遥感、地理信息系统工程）</w:t>
            </w:r>
          </w:p>
        </w:tc>
        <w:tc>
          <w:tcPr>
            <w:tcW w:type="dxa" w:w="1661"/>
          </w:tcPr>
          <w:p>
            <w:pPr>
              <w:pStyle w:val="null3"/>
            </w:pPr>
            <w:r>
              <w:rPr>
                <w:rFonts w:ascii="仿宋_GB2312" w:hAnsi="仿宋_GB2312" w:cs="仿宋_GB2312" w:eastAsia="仿宋_GB2312"/>
              </w:rPr>
              <w:t>4.资格证明文件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法定代表人授权委托书\身份证明</w:t>
            </w:r>
          </w:p>
        </w:tc>
        <w:tc>
          <w:tcPr>
            <w:tcW w:type="dxa" w:w="3322"/>
          </w:tcPr>
          <w:p>
            <w:pPr>
              <w:pStyle w:val="null3"/>
            </w:pPr>
            <w:r>
              <w:rPr>
                <w:rFonts w:ascii="仿宋_GB2312" w:hAnsi="仿宋_GB2312" w:cs="仿宋_GB2312" w:eastAsia="仿宋_GB2312"/>
              </w:rPr>
              <w:t>非法定代表人参加投标的，须提供法定代表人授权委托书、授权代表身份证、授权代表提供在投标单位缴纳的社保记录（近3个月内任意一个月，提交投标文件截止时间当月不计入）；法定代表人参加投标时,只需提供法定代表人身份证</w:t>
            </w:r>
          </w:p>
        </w:tc>
        <w:tc>
          <w:tcPr>
            <w:tcW w:type="dxa" w:w="1661"/>
          </w:tcPr>
          <w:p>
            <w:pPr>
              <w:pStyle w:val="null3"/>
            </w:pPr>
            <w:r>
              <w:rPr>
                <w:rFonts w:ascii="仿宋_GB2312" w:hAnsi="仿宋_GB2312" w:cs="仿宋_GB2312" w:eastAsia="仿宋_GB2312"/>
              </w:rPr>
              <w:t>4.资格证明文件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www.creditchina.gov.cn)”中列入失信被执行人和重大税收违法案件当事人名单的供应商，不得为“中国政府采购网(www.ccgp.gov.cn)”政府采购严重违法失信行为记录名单中被财政部门禁止参加政府采购活动的供应商（采购代理机构查询时限为响应文件递交截止之日）</w:t>
            </w:r>
          </w:p>
        </w:tc>
        <w:tc>
          <w:tcPr>
            <w:tcW w:type="dxa" w:w="1661"/>
          </w:tcPr>
          <w:p>
            <w:pPr>
              <w:pStyle w:val="null3"/>
            </w:pPr>
            <w:r>
              <w:rPr>
                <w:rFonts w:ascii="仿宋_GB2312" w:hAnsi="仿宋_GB2312" w:cs="仿宋_GB2312" w:eastAsia="仿宋_GB2312"/>
              </w:rPr>
              <w:t>4.资格证明文件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4.资格证明文件</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联合体情况</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4.资格证明文件</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根据财政部《关于推动解决政府采购异常低价问题的通知》（财库〔2026〕2号）出现下列情形之一的，评审委员会应当启动异常低价投标（响应）审查程序：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相关法律法规对供应商报价有规定的，从其规定。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1.分项报价表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投标内容未出现漏项或数量与要求不符，未出现重大负偏差</w:t>
            </w:r>
          </w:p>
        </w:tc>
        <w:tc>
          <w:tcPr>
            <w:tcW w:type="dxa" w:w="1661"/>
          </w:tcPr>
          <w:p>
            <w:pPr>
              <w:pStyle w:val="null3"/>
            </w:pPr>
            <w:r>
              <w:rPr>
                <w:rFonts w:ascii="仿宋_GB2312" w:hAnsi="仿宋_GB2312" w:cs="仿宋_GB2312" w:eastAsia="仿宋_GB2312"/>
              </w:rPr>
              <w:t>开标一览表 1.分项报价表 投标函 3.商务响应表 中小企业声明函 残疾人福利性单位声明函 2.服务需求响应表 标的清单 监狱企业的证明文件 4.资格证明文件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签署</w:t>
            </w:r>
          </w:p>
        </w:tc>
        <w:tc>
          <w:tcPr>
            <w:tcW w:type="dxa" w:w="3322"/>
          </w:tcPr>
          <w:p>
            <w:pPr>
              <w:pStyle w:val="null3"/>
            </w:pPr>
            <w:r>
              <w:rPr>
                <w:rFonts w:ascii="仿宋_GB2312" w:hAnsi="仿宋_GB2312" w:cs="仿宋_GB2312" w:eastAsia="仿宋_GB2312"/>
              </w:rPr>
              <w:t>投标文件的签署、加盖公章有效</w:t>
            </w:r>
          </w:p>
        </w:tc>
        <w:tc>
          <w:tcPr>
            <w:tcW w:type="dxa" w:w="1661"/>
          </w:tcPr>
          <w:p>
            <w:pPr>
              <w:pStyle w:val="null3"/>
            </w:pPr>
            <w:r>
              <w:rPr>
                <w:rFonts w:ascii="仿宋_GB2312" w:hAnsi="仿宋_GB2312" w:cs="仿宋_GB2312" w:eastAsia="仿宋_GB2312"/>
              </w:rPr>
              <w:t>开标一览表 中小企业声明函 5.服务方案 4.资格证明文件 6.供应商拒绝政府采购领域商业贿赂承诺书 1.分项报价表 投标函 3.商务响应表 残疾人福利性单位声明函 2.服务需求响应表 标的清单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投标文件有效期达到招标文件的要求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报价未超过招标文件中规定的采购预算或最高限价的</w:t>
            </w:r>
          </w:p>
        </w:tc>
        <w:tc>
          <w:tcPr>
            <w:tcW w:type="dxa" w:w="1661"/>
          </w:tcPr>
          <w:p>
            <w:pPr>
              <w:pStyle w:val="null3"/>
            </w:pPr>
            <w:r>
              <w:rPr>
                <w:rFonts w:ascii="仿宋_GB2312" w:hAnsi="仿宋_GB2312" w:cs="仿宋_GB2312" w:eastAsia="仿宋_GB2312"/>
              </w:rPr>
              <w:t>开标一览表 1.分项报价表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完全理解并接受法律法规和招标文件对供应商合法经营的各类规约和责任义务要求，未出现法律法规或招标文件规定的其他无效情形。</w:t>
            </w:r>
          </w:p>
        </w:tc>
        <w:tc>
          <w:tcPr>
            <w:tcW w:type="dxa" w:w="1661"/>
          </w:tcPr>
          <w:p>
            <w:pPr>
              <w:pStyle w:val="null3"/>
            </w:pPr>
            <w:r>
              <w:rPr>
                <w:rFonts w:ascii="仿宋_GB2312" w:hAnsi="仿宋_GB2312" w:cs="仿宋_GB2312" w:eastAsia="仿宋_GB2312"/>
              </w:rPr>
              <w:t>6.供应商拒绝政府采购领域商业贿赂承诺书 开标一览表 1.分项报价表 投标函 3.商务响应表 2.服务需求响应表 5.服务方案 标的清单 4.资格证明文件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项目需求理解</w:t>
            </w:r>
          </w:p>
        </w:tc>
        <w:tc>
          <w:tcPr>
            <w:tcW w:type="dxa" w:w="2492"/>
          </w:tcPr>
          <w:p>
            <w:pPr>
              <w:pStyle w:val="null3"/>
            </w:pPr>
            <w:r>
              <w:rPr>
                <w:rFonts w:ascii="仿宋_GB2312" w:hAnsi="仿宋_GB2312" w:cs="仿宋_GB2312" w:eastAsia="仿宋_GB2312"/>
              </w:rPr>
              <w:t>投标人针对本项目需求有充分理解与认识，内容至少包含：①项目背景和需求分析；②工作范围、工作任务、成果要求等理解与认识等。评审标准：项目需求理解各部分内容全面详细、阐述条理清晰详尽、符合本项目采购需求得2分，每缺一项内容扣1分，评审内容有缺陷的根据情况扣分，扣完为止。注：评审内容“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5.服务方案</w:t>
            </w:r>
          </w:p>
        </w:tc>
      </w:tr>
      <w:tr>
        <w:tc>
          <w:tcPr>
            <w:tcW w:type="dxa" w:w="831"/>
            <w:vMerge/>
          </w:tcPr>
          <w:p/>
        </w:tc>
        <w:tc>
          <w:tcPr>
            <w:tcW w:type="dxa" w:w="1661"/>
          </w:tcPr>
          <w:p>
            <w:pPr>
              <w:pStyle w:val="null3"/>
            </w:pPr>
            <w:r>
              <w:rPr>
                <w:rFonts w:ascii="仿宋_GB2312" w:hAnsi="仿宋_GB2312" w:cs="仿宋_GB2312" w:eastAsia="仿宋_GB2312"/>
              </w:rPr>
              <w:t>项目重难点分析及解决方案</w:t>
            </w:r>
          </w:p>
        </w:tc>
        <w:tc>
          <w:tcPr>
            <w:tcW w:type="dxa" w:w="2492"/>
          </w:tcPr>
          <w:p>
            <w:pPr>
              <w:pStyle w:val="null3"/>
            </w:pPr>
            <w:r>
              <w:rPr>
                <w:rFonts w:ascii="仿宋_GB2312" w:hAnsi="仿宋_GB2312" w:cs="仿宋_GB2312" w:eastAsia="仿宋_GB2312"/>
              </w:rPr>
              <w:t>投标人针对本项目提供重点、难点分析及解决方案，内容至少包含：①重点、难点分析；②风险点分析；③解决方案；④合理化建议等。评审标准：项目重难点分析及解决方案各部分内容全面详细、阐述条理清晰详尽、符合本项目采购需求得4分，每缺一项内容扣1分，评审内容有缺陷的根据情况扣分，扣完为止。注：评审内容“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5.服务方案</w:t>
            </w:r>
          </w:p>
        </w:tc>
      </w:tr>
      <w:tr>
        <w:tc>
          <w:tcPr>
            <w:tcW w:type="dxa" w:w="831"/>
            <w:vMerge/>
          </w:tcPr>
          <w:p/>
        </w:tc>
        <w:tc>
          <w:tcPr>
            <w:tcW w:type="dxa" w:w="1661"/>
          </w:tcPr>
          <w:p>
            <w:pPr>
              <w:pStyle w:val="null3"/>
            </w:pPr>
            <w:r>
              <w:rPr>
                <w:rFonts w:ascii="仿宋_GB2312" w:hAnsi="仿宋_GB2312" w:cs="仿宋_GB2312" w:eastAsia="仿宋_GB2312"/>
              </w:rPr>
              <w:t>项目服务方案</w:t>
            </w:r>
          </w:p>
        </w:tc>
        <w:tc>
          <w:tcPr>
            <w:tcW w:type="dxa" w:w="2492"/>
          </w:tcPr>
          <w:p>
            <w:pPr>
              <w:pStyle w:val="null3"/>
            </w:pPr>
            <w:r>
              <w:rPr>
                <w:rFonts w:ascii="仿宋_GB2312" w:hAnsi="仿宋_GB2312" w:cs="仿宋_GB2312" w:eastAsia="仿宋_GB2312"/>
              </w:rPr>
              <w:t>投标人针对本项目提供项目服务方案，内容至少包含：①总体工作思路；②总体工作计划；③实施标准和方法；④项目分项（共7项工作）具体工作流程及项目技术设计；⑤项目成果内容和格式等。评审标准：总体服务方案各部分内容全面详细、阐述条理清晰详尽、符合本项目采购需求得15分，每缺一项内容扣3分，评审内容有缺陷的根据情况扣分，扣完为止。注：评审内容“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5.服务方案</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投标人针对本项目提供管理制度，内容至少包含：①档案管理制度；②风险控制制度等。评审标准：管理制度各部分内容全面详细、阐述条理清晰详尽、符合本项目采购需求得2分，每缺一项内容扣1分，评审内容有缺陷的根据情况扣分，扣完为止。注：评审内容“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5.服务方案</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投标人针对本项目提供质量保障措施，内容至少包含：①质量目标和质量保证措施；②成果文件质量控制措施等；评审标准：质量保障措施各部分内容全面详细、阐述条理清晰详尽、符合本项目采购需求得2分，每缺一项内容扣1分，评审内容有缺陷的根据情况扣分，扣完为止。注：评审内容“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5.服务方案</w:t>
            </w:r>
          </w:p>
        </w:tc>
      </w:tr>
      <w:tr>
        <w:tc>
          <w:tcPr>
            <w:tcW w:type="dxa" w:w="831"/>
            <w:vMerge/>
          </w:tcPr>
          <w:p/>
        </w:tc>
        <w:tc>
          <w:tcPr>
            <w:tcW w:type="dxa" w:w="1661"/>
          </w:tcPr>
          <w:p>
            <w:pPr>
              <w:pStyle w:val="null3"/>
            </w:pPr>
            <w:r>
              <w:rPr>
                <w:rFonts w:ascii="仿宋_GB2312" w:hAnsi="仿宋_GB2312" w:cs="仿宋_GB2312" w:eastAsia="仿宋_GB2312"/>
              </w:rPr>
              <w:t>进度保证措施</w:t>
            </w:r>
          </w:p>
        </w:tc>
        <w:tc>
          <w:tcPr>
            <w:tcW w:type="dxa" w:w="2492"/>
          </w:tcPr>
          <w:p>
            <w:pPr>
              <w:pStyle w:val="null3"/>
            </w:pPr>
            <w:r>
              <w:rPr>
                <w:rFonts w:ascii="仿宋_GB2312" w:hAnsi="仿宋_GB2312" w:cs="仿宋_GB2312" w:eastAsia="仿宋_GB2312"/>
              </w:rPr>
              <w:t>投标人针对本项目提供进度保证措施，内容至少包含：①实施进度方案和进度保障措施；②工作阶段任务划分等。评审标准：进度保证措施各部分内容全面详细、阐述条理清晰详尽、符合本项目采购需求得2分，每缺一项内容扣1分，评审内容有缺陷的根据情况扣分，扣完为止。注：评审内容“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5.服务方案</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投标人针对本项目提供保密措施，内容至少包含：①保密措施与人员保密管理；②保密承诺等。评审标准：保密措施各部分内容全面详细、阐述条理清晰详尽、符合本项目采购需求得2分，每缺一项内容扣1分，评审内容有缺陷的根据情况扣分，扣完为止。注：评审内容“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投标人针对本项目提供服务承诺，内容至少包含：①服务质量承诺、②服务时间、③售后服务团队配置情况、④安全保障、⑤与采购人能有良好工作配合的承诺等。评审标准：服务承诺各部分内容全面详细、阐述条理清晰详尽、符合本项目采购需求得5分，每缺一项内容扣1分，评审内容有缺陷的根据情况扣分，扣完为止。注：评审内容“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5.服务方案</w:t>
            </w:r>
          </w:p>
        </w:tc>
      </w:tr>
      <w:tr>
        <w:tc>
          <w:tcPr>
            <w:tcW w:type="dxa" w:w="831"/>
            <w:vMerge/>
          </w:tcPr>
          <w:p/>
        </w:tc>
        <w:tc>
          <w:tcPr>
            <w:tcW w:type="dxa" w:w="1661"/>
          </w:tcPr>
          <w:p>
            <w:pPr>
              <w:pStyle w:val="null3"/>
            </w:pPr>
            <w:r>
              <w:rPr>
                <w:rFonts w:ascii="仿宋_GB2312" w:hAnsi="仿宋_GB2312" w:cs="仿宋_GB2312" w:eastAsia="仿宋_GB2312"/>
              </w:rPr>
              <w:t>设备投入计划</w:t>
            </w:r>
          </w:p>
        </w:tc>
        <w:tc>
          <w:tcPr>
            <w:tcW w:type="dxa" w:w="2492"/>
          </w:tcPr>
          <w:p>
            <w:pPr>
              <w:pStyle w:val="null3"/>
            </w:pPr>
            <w:r>
              <w:rPr>
                <w:rFonts w:ascii="仿宋_GB2312" w:hAnsi="仿宋_GB2312" w:cs="仿宋_GB2312" w:eastAsia="仿宋_GB2312"/>
              </w:rPr>
              <w:t>投标人针对本项目提供设备投入计划，内容至少包含：①设备管理方案；②应急设备配置方案等。评审标准：设备投入计划各部分内容全面详细、阐述条理清晰详尽、符合本项目采购需求得2分，每缺一项内容扣1分，评审内容有缺陷的根据情况扣分，扣完为止。注：评审内容“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5.服务方案</w:t>
            </w:r>
          </w:p>
        </w:tc>
      </w:tr>
      <w:tr>
        <w:tc>
          <w:tcPr>
            <w:tcW w:type="dxa" w:w="831"/>
            <w:vMerge/>
          </w:tcPr>
          <w:p/>
        </w:tc>
        <w:tc>
          <w:tcPr>
            <w:tcW w:type="dxa" w:w="1661"/>
          </w:tcPr>
          <w:p>
            <w:pPr>
              <w:pStyle w:val="null3"/>
            </w:pPr>
            <w:r>
              <w:rPr>
                <w:rFonts w:ascii="仿宋_GB2312" w:hAnsi="仿宋_GB2312" w:cs="仿宋_GB2312" w:eastAsia="仿宋_GB2312"/>
              </w:rPr>
              <w:t>拟投入本项目的设备配置</w:t>
            </w:r>
          </w:p>
        </w:tc>
        <w:tc>
          <w:tcPr>
            <w:tcW w:type="dxa" w:w="2492"/>
          </w:tcPr>
          <w:p>
            <w:pPr>
              <w:pStyle w:val="null3"/>
            </w:pPr>
            <w:r>
              <w:rPr>
                <w:rFonts w:ascii="仿宋_GB2312" w:hAnsi="仿宋_GB2312" w:cs="仿宋_GB2312" w:eastAsia="仿宋_GB2312"/>
              </w:rPr>
              <w:t>投标人针对本项目投入的设备配置：需要提供①设备配置清单；②设备照片，③设备购置发票或租赁合同等证明文件。（1）拟投入本项目设备中，具有无人机设备1台得0.5分，最高得3分。 （2）拟投入本项目设备中，具有外业调查监测平板，1台得0.5分，最高得5分。 （3）拟投入本项目设备中，具有高性能图形工作站1台得0.1分，最高得2分。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5.服务方案</w:t>
            </w:r>
          </w:p>
        </w:tc>
      </w:tr>
      <w:tr>
        <w:tc>
          <w:tcPr>
            <w:tcW w:type="dxa" w:w="831"/>
            <w:vMerge/>
          </w:tcPr>
          <w:p/>
        </w:tc>
        <w:tc>
          <w:tcPr>
            <w:tcW w:type="dxa" w:w="1661"/>
          </w:tcPr>
          <w:p>
            <w:pPr>
              <w:pStyle w:val="null3"/>
            </w:pPr>
            <w:r>
              <w:rPr>
                <w:rFonts w:ascii="仿宋_GB2312" w:hAnsi="仿宋_GB2312" w:cs="仿宋_GB2312" w:eastAsia="仿宋_GB2312"/>
              </w:rPr>
              <w:t>人员配备-项目团队配置</w:t>
            </w:r>
          </w:p>
        </w:tc>
        <w:tc>
          <w:tcPr>
            <w:tcW w:type="dxa" w:w="2492"/>
          </w:tcPr>
          <w:p>
            <w:pPr>
              <w:pStyle w:val="null3"/>
            </w:pPr>
            <w:r>
              <w:rPr>
                <w:rFonts w:ascii="仿宋_GB2312" w:hAnsi="仿宋_GB2312" w:cs="仿宋_GB2312" w:eastAsia="仿宋_GB2312"/>
              </w:rPr>
              <w:t>投标人针对本项目服务人员的配备，内容至少包含：①项目组织架构及岗位职责；②团队管理制度。评审标准：项目团队配置各部分内容全面详细、阐述条理清晰详尽、符合本项目采购需求得4分，每缺一项内容扣2分，评审内容有缺陷的根据情况扣分，扣完为止。注：评审内容“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5.服务方案</w:t>
            </w:r>
          </w:p>
        </w:tc>
      </w:tr>
      <w:tr>
        <w:tc>
          <w:tcPr>
            <w:tcW w:type="dxa" w:w="831"/>
            <w:vMerge/>
          </w:tcPr>
          <w:p/>
        </w:tc>
        <w:tc>
          <w:tcPr>
            <w:tcW w:type="dxa" w:w="1661"/>
          </w:tcPr>
          <w:p>
            <w:pPr>
              <w:pStyle w:val="null3"/>
            </w:pPr>
            <w:r>
              <w:rPr>
                <w:rFonts w:ascii="仿宋_GB2312" w:hAnsi="仿宋_GB2312" w:cs="仿宋_GB2312" w:eastAsia="仿宋_GB2312"/>
              </w:rPr>
              <w:t>人员配备-项目负责人</w:t>
            </w:r>
          </w:p>
        </w:tc>
        <w:tc>
          <w:tcPr>
            <w:tcW w:type="dxa" w:w="2492"/>
          </w:tcPr>
          <w:p>
            <w:pPr>
              <w:pStyle w:val="null3"/>
            </w:pPr>
            <w:r>
              <w:rPr>
                <w:rFonts w:ascii="仿宋_GB2312" w:hAnsi="仿宋_GB2312" w:cs="仿宋_GB2312" w:eastAsia="仿宋_GB2312"/>
              </w:rPr>
              <w:t>（1）项目负责人具有测绘相关专业高级及以上职称证书的，得3分，具有中级职称的得1分，其他的不得分。（2）项目负责人具有注册测绘师证书得2分，未具有不得分，本项满分2分。 注：须提供相关证书复印件及拟派人员在本单位任职的相关证明材料（投标截止时间前六个月内（不含开标当月）在投标人单位缴纳的任意一个月的社会保险证明材料或劳动合同等）并加盖公章，否则不计分。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5.服务方案</w:t>
            </w:r>
          </w:p>
        </w:tc>
      </w:tr>
      <w:tr>
        <w:tc>
          <w:tcPr>
            <w:tcW w:type="dxa" w:w="831"/>
            <w:vMerge/>
          </w:tcPr>
          <w:p/>
        </w:tc>
        <w:tc>
          <w:tcPr>
            <w:tcW w:type="dxa" w:w="1661"/>
          </w:tcPr>
          <w:p>
            <w:pPr>
              <w:pStyle w:val="null3"/>
            </w:pPr>
            <w:r>
              <w:rPr>
                <w:rFonts w:ascii="仿宋_GB2312" w:hAnsi="仿宋_GB2312" w:cs="仿宋_GB2312" w:eastAsia="仿宋_GB2312"/>
              </w:rPr>
              <w:t>人员配备-项目团队配置</w:t>
            </w:r>
          </w:p>
        </w:tc>
        <w:tc>
          <w:tcPr>
            <w:tcW w:type="dxa" w:w="2492"/>
          </w:tcPr>
          <w:p>
            <w:pPr>
              <w:pStyle w:val="null3"/>
            </w:pPr>
            <w:r>
              <w:rPr>
                <w:rFonts w:ascii="仿宋_GB2312" w:hAnsi="仿宋_GB2312" w:cs="仿宋_GB2312" w:eastAsia="仿宋_GB2312"/>
              </w:rPr>
              <w:t>（1）项目技术负责人具有测绘相关专业高级及以上职称证书的，得2分，具有中级职称的得1分，具有注册测绘师证书2分，最高得4分，其他的不得分。 （2）项目质量负责人具有测绘相关专业高级及以上职称证书的，得2分，具有中级职称的得1分，具有注册测绘师证书2分，最高得4分，其他的不得分。 （3）项目团队人员配置（除项目负责人、项目技术负责人、项目质量负责人）： ①拟投入本项目人员中具有测绘相关专业高级及以上职称人员，提供1名得1分，拟投入本项目人员中具有测绘相关专业中级职称人员提供1名得0.5分，本项最高10分。 （4）拟投入本项目人员中具有中国民用航空局（CAAC）颁发的民用无人驾驶航空器操作员执照，提供1名得0.4分，最高2分。 注：须提供相关证书复印件及拟派人员在本单位任职的相关证明材料（投标截止时间前六个月内（不含开标当月）在投标人单位缴纳的任意一个月的社会保险证明材料或劳动合同等）并加盖公章，否则不计分。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5.服务方案</w:t>
            </w:r>
          </w:p>
        </w:tc>
      </w:tr>
      <w:tr>
        <w:tc>
          <w:tcPr>
            <w:tcW w:type="dxa" w:w="831"/>
            <w:vMerge/>
          </w:tcPr>
          <w:p/>
        </w:tc>
        <w:tc>
          <w:tcPr>
            <w:tcW w:type="dxa" w:w="1661"/>
          </w:tcPr>
          <w:p>
            <w:pPr>
              <w:pStyle w:val="null3"/>
            </w:pPr>
            <w:r>
              <w:rPr>
                <w:rFonts w:ascii="仿宋_GB2312" w:hAnsi="仿宋_GB2312" w:cs="仿宋_GB2312" w:eastAsia="仿宋_GB2312"/>
              </w:rPr>
              <w:t>管理体系认证</w:t>
            </w:r>
          </w:p>
        </w:tc>
        <w:tc>
          <w:tcPr>
            <w:tcW w:type="dxa" w:w="2492"/>
          </w:tcPr>
          <w:p>
            <w:pPr>
              <w:pStyle w:val="null3"/>
            </w:pPr>
            <w:r>
              <w:rPr>
                <w:rFonts w:ascii="仿宋_GB2312" w:hAnsi="仿宋_GB2312" w:cs="仿宋_GB2312" w:eastAsia="仿宋_GB2312"/>
              </w:rPr>
              <w:t>投标人具备有效期内的质量管理体系认证证书、职业健康安全管理体系认证证书、信息安全管理体系认证证书、环境管理体系认证证书、信息技术服务管理体系认证证书的，每提供1项得1分，本项最高得5分。（须提供证书复印件加盖公章，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提供2023年1月1日至今（以合同签订时间为准）类似项目业绩，每提供一个得2分，最高得10分。（须提供完整合同等证明文件，否则不计分）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投标文件，其投标报价为有效投标报价，对符合政策性扣减的供应商的有效投标价格进行政策性扣减，并依据扣减后的价格（评审价格）进行价格评审。满足招标文件要求且投标报价最低的为评标基准价，其价格分为满分。价格分按照下列公式计算。报价得分=（评标基准价/有效报价）×价格权重（10%）×100符合招标文件规定的小微企业或监狱企业或残疾人福利性单位优惠条件的供应商，价格给予10%的扣除，用扣除后的价格参与评审。</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详见附件：1.分项报价表</w:t>
      </w:r>
    </w:p>
    <w:p>
      <w:pPr>
        <w:pStyle w:val="null3"/>
        <w:ind w:firstLine="960"/>
      </w:pPr>
      <w:r>
        <w:rPr>
          <w:rFonts w:ascii="仿宋_GB2312" w:hAnsi="仿宋_GB2312" w:cs="仿宋_GB2312" w:eastAsia="仿宋_GB2312"/>
        </w:rPr>
        <w:t>详见附件：2.服务需求响应表</w:t>
      </w:r>
    </w:p>
    <w:p>
      <w:pPr>
        <w:pStyle w:val="null3"/>
        <w:ind w:firstLine="960"/>
      </w:pPr>
      <w:r>
        <w:rPr>
          <w:rFonts w:ascii="仿宋_GB2312" w:hAnsi="仿宋_GB2312" w:cs="仿宋_GB2312" w:eastAsia="仿宋_GB2312"/>
        </w:rPr>
        <w:t>详见附件：3.商务响应表</w:t>
      </w:r>
    </w:p>
    <w:p>
      <w:pPr>
        <w:pStyle w:val="null3"/>
        <w:ind w:firstLine="960"/>
      </w:pPr>
      <w:r>
        <w:rPr>
          <w:rFonts w:ascii="仿宋_GB2312" w:hAnsi="仿宋_GB2312" w:cs="仿宋_GB2312" w:eastAsia="仿宋_GB2312"/>
        </w:rPr>
        <w:t>详见附件：4.资格证明文件</w:t>
      </w:r>
    </w:p>
    <w:p>
      <w:pPr>
        <w:pStyle w:val="null3"/>
        <w:ind w:firstLine="960"/>
      </w:pPr>
      <w:r>
        <w:rPr>
          <w:rFonts w:ascii="仿宋_GB2312" w:hAnsi="仿宋_GB2312" w:cs="仿宋_GB2312" w:eastAsia="仿宋_GB2312"/>
        </w:rPr>
        <w:t>详见附件：5.服务方案</w:t>
      </w:r>
    </w:p>
    <w:p>
      <w:pPr>
        <w:pStyle w:val="null3"/>
        <w:ind w:firstLine="960"/>
      </w:pPr>
      <w:r>
        <w:rPr>
          <w:rFonts w:ascii="仿宋_GB2312" w:hAnsi="仿宋_GB2312" w:cs="仿宋_GB2312" w:eastAsia="仿宋_GB2312"/>
        </w:rPr>
        <w:t>详见附件：6.供应商拒绝政府采购领域商业贿赂承诺书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详见附件：卫星遥感采集与监管业务能力提升项目--合同.docx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