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版本号：ZHYB-HZ-2026-01020260617001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佛坪县防汛应急物资采购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ZHYB-HZ-2026-010</w:t>
      </w:r>
      <w:r>
        <w:br/>
      </w:r>
      <w:r>
        <w:br/>
      </w:r>
      <w:r>
        <w:br/>
      </w:r>
    </w:p>
    <w:p>
      <w:pPr>
        <w:pStyle w:val="null3"/>
        <w:jc w:val="center"/>
        <w:outlineLvl w:val="2"/>
      </w:pPr>
      <w:r>
        <w:rPr>
          <w:rFonts w:ascii="仿宋_GB2312" w:hAnsi="仿宋_GB2312" w:cs="仿宋_GB2312" w:eastAsia="仿宋_GB2312"/>
          <w:sz w:val="28"/>
          <w:b/>
        </w:rPr>
        <w:t>佛坪县应急管理局</w:t>
      </w:r>
    </w:p>
    <w:p>
      <w:pPr>
        <w:pStyle w:val="null3"/>
        <w:jc w:val="center"/>
        <w:outlineLvl w:val="2"/>
      </w:pPr>
      <w:r>
        <w:rPr>
          <w:rFonts w:ascii="仿宋_GB2312" w:hAnsi="仿宋_GB2312" w:cs="仿宋_GB2312" w:eastAsia="仿宋_GB2312"/>
          <w:sz w:val="28"/>
          <w:b/>
        </w:rPr>
        <w:t>中鸿亿博集团有限公司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中鸿亿博集团有限公司</w:t>
      </w:r>
      <w:r>
        <w:rPr>
          <w:rFonts w:ascii="仿宋_GB2312" w:hAnsi="仿宋_GB2312" w:cs="仿宋_GB2312" w:eastAsia="仿宋_GB2312"/>
        </w:rPr>
        <w:t>（以下简称“代理机构”）受</w:t>
      </w:r>
      <w:r>
        <w:rPr>
          <w:rFonts w:ascii="仿宋_GB2312" w:hAnsi="仿宋_GB2312" w:cs="仿宋_GB2312" w:eastAsia="仿宋_GB2312"/>
        </w:rPr>
        <w:t>佛坪县应急管理局</w:t>
      </w:r>
      <w:r>
        <w:rPr>
          <w:rFonts w:ascii="仿宋_GB2312" w:hAnsi="仿宋_GB2312" w:cs="仿宋_GB2312" w:eastAsia="仿宋_GB2312"/>
        </w:rPr>
        <w:t>委托，拟对</w:t>
      </w:r>
      <w:r>
        <w:rPr>
          <w:rFonts w:ascii="仿宋_GB2312" w:hAnsi="仿宋_GB2312" w:cs="仿宋_GB2312" w:eastAsia="仿宋_GB2312"/>
        </w:rPr>
        <w:t>佛坪县防汛应急物资采购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ZHYB-HZ-2026-010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佛坪县防汛应急物资采购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佛坪县防汛应急物资采购一项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委托代理人身份证明：法定代表人或单位负责人直接参加开标的，须出具法人身份证或单位负责人身份证；法定代表人或单位负责人授权代表参加开标的，须出具法定代表人授权书或单位负责人授权书及授权代表身份证</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投标人应按照汉中市财政局《关于全面推行政府采购供应商基本资格条件承诺制的通知》（汉采办采管〔2024〕20号）文件要求，提供《汉中市政府采购供应商资格承诺函》并加盖公章</w:t>
      </w:r>
    </w:p>
    <w:p>
      <w:pPr>
        <w:pStyle w:val="null3"/>
      </w:pPr>
      <w:r>
        <w:rPr>
          <w:rFonts w:ascii="仿宋_GB2312" w:hAnsi="仿宋_GB2312" w:cs="仿宋_GB2312" w:eastAsia="仿宋_GB2312"/>
        </w:rPr>
        <w:t>4、本项目不接受联合体投标：供应商应提供《非联合体声明》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佛坪县应急管理局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佛坪县熊猫大道10号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0916-8912022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中鸿亿博集团有限公司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陕西省汉中市汉台区前进西路艾慕酒店405室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0916-8851898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肖科长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开户名称：中鸿亿博集团有限公司汉中分公司</w:t>
            </w:r>
          </w:p>
          <w:p>
            <w:pPr>
              <w:pStyle w:val="null3"/>
            </w:pPr>
            <w:r>
              <w:rPr>
                <w:rFonts w:ascii="仿宋_GB2312" w:hAnsi="仿宋_GB2312" w:cs="仿宋_GB2312" w:eastAsia="仿宋_GB2312"/>
              </w:rPr>
              <w:t>开户银行：工行汉中劳动西路支行</w:t>
            </w:r>
          </w:p>
          <w:p>
            <w:pPr>
              <w:pStyle w:val="null3"/>
            </w:pPr>
            <w:r>
              <w:rPr>
                <w:rFonts w:ascii="仿宋_GB2312" w:hAnsi="仿宋_GB2312" w:cs="仿宋_GB2312" w:eastAsia="仿宋_GB2312"/>
              </w:rPr>
              <w:t>银行账号：2606 0555 0910 0078 735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数，参考《国家计委关于印发（招标代理服务收费管理暂行办法）的通知》（计价格〔2002〕1980号）以及《国家发展改革委关于进一步放开建设项目专项业务服务价格的通知》（发改价格〔2015〕299号）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佛坪县应急管理局</w:t>
      </w:r>
      <w:r>
        <w:rPr>
          <w:rFonts w:ascii="仿宋_GB2312" w:hAnsi="仿宋_GB2312" w:cs="仿宋_GB2312" w:eastAsia="仿宋_GB2312"/>
        </w:rPr>
        <w:t>和</w:t>
      </w:r>
      <w:r>
        <w:rPr>
          <w:rFonts w:ascii="仿宋_GB2312" w:hAnsi="仿宋_GB2312" w:cs="仿宋_GB2312" w:eastAsia="仿宋_GB2312"/>
        </w:rPr>
        <w:t>中鸿亿博集团有限公司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佛坪县应急管理局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中鸿亿博集团有限公司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佛坪县应急管理局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中鸿亿博集团有限公司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符合相关标准要求并通过采购人验收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中鸿亿博集团有限公司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中鸿亿博集团有限公司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中鸿亿博集团有限公司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联系人：陈先生</w:t>
      </w:r>
    </w:p>
    <w:p>
      <w:pPr>
        <w:pStyle w:val="null3"/>
      </w:pPr>
      <w:r>
        <w:rPr>
          <w:rFonts w:ascii="仿宋_GB2312" w:hAnsi="仿宋_GB2312" w:cs="仿宋_GB2312" w:eastAsia="仿宋_GB2312"/>
        </w:rPr>
        <w:t>联系电话：0916-8851898</w:t>
      </w:r>
    </w:p>
    <w:p>
      <w:pPr>
        <w:pStyle w:val="null3"/>
      </w:pPr>
      <w:r>
        <w:rPr>
          <w:rFonts w:ascii="仿宋_GB2312" w:hAnsi="仿宋_GB2312" w:cs="仿宋_GB2312" w:eastAsia="仿宋_GB2312"/>
        </w:rPr>
        <w:t>地址：陕西省汉中市汉台区前进西路艾慕酒店405室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佛坪县防汛应急物资采购一项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04"/>
              <w:gridCol w:w="587"/>
              <w:gridCol w:w="587"/>
              <w:gridCol w:w="587"/>
              <w:gridCol w:w="587"/>
            </w:tblGrid>
            <w:tr>
              <w:tc>
                <w:tcPr>
                  <w:tcW w:type="dxa" w:w="204"/>
                </w:tcPr>
                <w:p>
                  <w:pPr>
                    <w:pStyle w:val="null3"/>
                  </w:pPr>
                  <w:r>
                    <w:rPr>
                      <w:rFonts w:ascii="仿宋_GB2312" w:hAnsi="仿宋_GB2312" w:cs="仿宋_GB2312" w:eastAsia="仿宋_GB2312"/>
                      <w:sz w:val="16"/>
                    </w:rPr>
                    <w:t>序号</w:t>
                  </w:r>
                </w:p>
              </w:tc>
              <w:tc>
                <w:tcPr>
                  <w:tcW w:type="dxa" w:w="587"/>
                </w:tcPr>
                <w:p>
                  <w:pPr>
                    <w:pStyle w:val="null3"/>
                  </w:pPr>
                  <w:r>
                    <w:rPr>
                      <w:rFonts w:ascii="仿宋_GB2312" w:hAnsi="仿宋_GB2312" w:cs="仿宋_GB2312" w:eastAsia="仿宋_GB2312"/>
                      <w:sz w:val="16"/>
                    </w:rPr>
                    <w:t>物资名称</w:t>
                  </w:r>
                </w:p>
              </w:tc>
              <w:tc>
                <w:tcPr>
                  <w:tcW w:type="dxa" w:w="587"/>
                </w:tcPr>
                <w:p>
                  <w:pPr>
                    <w:pStyle w:val="null3"/>
                  </w:pPr>
                  <w:r>
                    <w:rPr>
                      <w:rFonts w:ascii="仿宋_GB2312" w:hAnsi="仿宋_GB2312" w:cs="仿宋_GB2312" w:eastAsia="仿宋_GB2312"/>
                      <w:sz w:val="16"/>
                    </w:rPr>
                    <w:t>参数</w:t>
                  </w:r>
                </w:p>
              </w:tc>
              <w:tc>
                <w:tcPr>
                  <w:tcW w:type="dxa" w:w="587"/>
                </w:tcPr>
                <w:p>
                  <w:pPr>
                    <w:pStyle w:val="null3"/>
                  </w:pPr>
                  <w:r>
                    <w:rPr>
                      <w:rFonts w:ascii="仿宋_GB2312" w:hAnsi="仿宋_GB2312" w:cs="仿宋_GB2312" w:eastAsia="仿宋_GB2312"/>
                      <w:sz w:val="16"/>
                    </w:rPr>
                    <w:t>单位</w:t>
                  </w:r>
                </w:p>
              </w:tc>
              <w:tc>
                <w:tcPr>
                  <w:tcW w:type="dxa" w:w="587"/>
                </w:tcPr>
                <w:p>
                  <w:pPr>
                    <w:pStyle w:val="null3"/>
                  </w:pPr>
                  <w:r>
                    <w:rPr>
                      <w:rFonts w:ascii="仿宋_GB2312" w:hAnsi="仿宋_GB2312" w:cs="仿宋_GB2312" w:eastAsia="仿宋_GB2312"/>
                      <w:sz w:val="16"/>
                    </w:rPr>
                    <w:t>数量</w:t>
                  </w:r>
                </w:p>
              </w:tc>
            </w:tr>
            <w:tr>
              <w:tc>
                <w:tcPr>
                  <w:tcW w:type="dxa" w:w="2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w:t>
                  </w:r>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棉衣</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1.产品规格：长款加厚，产品颜色：藏蓝色；</w:t>
                        </w:r>
                        <w:r>
                          <w:br/>
                        </w:r>
                        <w:r>
                          <w:rPr>
                            <w:rFonts w:ascii="仿宋_GB2312" w:hAnsi="仿宋_GB2312" w:cs="仿宋_GB2312" w:eastAsia="仿宋_GB2312"/>
                            <w:sz w:val="16"/>
                            <w:color w:val="000000"/>
                          </w:rPr>
                          <w:t xml:space="preserve"> 2.款式：开衫、连帽、毛领；服装口袋样式：侧缝插袋；</w:t>
                        </w:r>
                        <w:r>
                          <w:br/>
                        </w:r>
                        <w:r>
                          <w:rPr>
                            <w:rFonts w:ascii="仿宋_GB2312" w:hAnsi="仿宋_GB2312" w:cs="仿宋_GB2312" w:eastAsia="仿宋_GB2312"/>
                            <w:sz w:val="16"/>
                            <w:color w:val="000000"/>
                          </w:rPr>
                          <w:t xml:space="preserve"> 3.面料成分：聚酯纤维，填充物：热熔棉/羊绒混纺，其中：羊绒≥30%，尺码：165-185#，可适合气温-5℃到-15℃</w:t>
                        </w:r>
                        <w:r>
                          <w:rPr>
                            <w:rFonts w:ascii="仿宋_GB2312" w:hAnsi="仿宋_GB2312" w:cs="仿宋_GB2312" w:eastAsia="仿宋_GB2312"/>
                            <w:sz w:val="16"/>
                            <w:color w:val="000000"/>
                          </w:rPr>
                          <w:t>。</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件</w:t>
                        </w:r>
                      </w:p>
                    </w:tc>
                  </w:tr>
                </w:tbl>
                <w:p/>
              </w:tc>
              <w:tc>
                <w:tcPr>
                  <w:tcW w:type="dxa" w:w="587"/>
                </w:tcPr>
                <w:p>
                  <w:pPr>
                    <w:pStyle w:val="null3"/>
                  </w:pPr>
                  <w:r>
                    <w:rPr>
                      <w:rFonts w:ascii="仿宋_GB2312" w:hAnsi="仿宋_GB2312" w:cs="仿宋_GB2312" w:eastAsia="仿宋_GB2312"/>
                      <w:sz w:val="16"/>
                    </w:rPr>
                    <w:t>210</w:t>
                  </w:r>
                </w:p>
              </w:tc>
            </w:tr>
            <w:tr>
              <w:tc>
                <w:tcPr>
                  <w:tcW w:type="dxa" w:w="204"/>
                </w:tcPr>
                <w:p>
                  <w:pPr>
                    <w:pStyle w:val="null3"/>
                  </w:pPr>
                  <w:r>
                    <w:rPr>
                      <w:rFonts w:ascii="仿宋_GB2312" w:hAnsi="仿宋_GB2312" w:cs="仿宋_GB2312" w:eastAsia="仿宋_GB2312"/>
                      <w:sz w:val="16"/>
                    </w:rPr>
                    <w:t>2</w:t>
                  </w:r>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棉被</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1.被胎规格：原棉三级棉以上；</w:t>
                        </w:r>
                        <w:r>
                          <w:br/>
                        </w:r>
                        <w:r>
                          <w:rPr>
                            <w:rFonts w:ascii="仿宋_GB2312" w:hAnsi="仿宋_GB2312" w:cs="仿宋_GB2312" w:eastAsia="仿宋_GB2312"/>
                            <w:sz w:val="16"/>
                            <w:color w:val="000000"/>
                          </w:rPr>
                          <w:t xml:space="preserve"> 2.尺寸：1550mm*2050mm（偏差±2%），重量：4KG（偏差±3%）；</w:t>
                        </w:r>
                        <w:r>
                          <w:br/>
                        </w:r>
                        <w:r>
                          <w:rPr>
                            <w:rFonts w:ascii="仿宋_GB2312" w:hAnsi="仿宋_GB2312" w:cs="仿宋_GB2312" w:eastAsia="仿宋_GB2312"/>
                            <w:sz w:val="16"/>
                            <w:color w:val="000000"/>
                          </w:rPr>
                          <w:t xml:space="preserve"> 3.纱线附着率(研磨率)≥80%，符合GB/T35932标准 网纱研磨较透；</w:t>
                        </w:r>
                        <w:r>
                          <w:br/>
                        </w:r>
                        <w:r>
                          <w:rPr>
                            <w:rFonts w:ascii="仿宋_GB2312" w:hAnsi="仿宋_GB2312" w:cs="仿宋_GB2312" w:eastAsia="仿宋_GB2312"/>
                            <w:sz w:val="16"/>
                            <w:color w:val="000000"/>
                          </w:rPr>
                          <w:t xml:space="preserve"> 4.被罩规格：≥1600mm*2100mm；被套面料，纱支≥32*32，密度≥68*68，无色差、无异味、不褪色，不含甲醛、致敏性染料，耐洗色牢度≥4 级，耐摩擦色牢度≥4 级，耐光色牢度≥4 级，耐熨烫色牢度≥4 级，耐干洗色牢度≥4 级，水洗尺寸变化率：+1.0%～-1.0%，断裂强力≥200N，撕破强力≥100N，接缝强力≥200N，透气率：≥85mm/s，邻苯二甲酸酯含量≤50mg/kg；缝制被套针脚均匀，四角丰满，表面不留线头；缝纫不跳针。</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床</w:t>
                        </w:r>
                      </w:p>
                    </w:tc>
                  </w:tr>
                </w:tbl>
                <w:p/>
              </w:tc>
              <w:tc>
                <w:tcPr>
                  <w:tcW w:type="dxa" w:w="587"/>
                </w:tcPr>
                <w:p>
                  <w:pPr>
                    <w:pStyle w:val="null3"/>
                  </w:pPr>
                  <w:r>
                    <w:rPr>
                      <w:rFonts w:ascii="仿宋_GB2312" w:hAnsi="仿宋_GB2312" w:cs="仿宋_GB2312" w:eastAsia="仿宋_GB2312"/>
                      <w:sz w:val="16"/>
                    </w:rPr>
                    <w:t>300</w:t>
                  </w:r>
                </w:p>
              </w:tc>
            </w:tr>
            <w:tr>
              <w:tc>
                <w:tcPr>
                  <w:tcW w:type="dxa" w:w="204"/>
                </w:tcPr>
                <w:p>
                  <w:pPr>
                    <w:pStyle w:val="null3"/>
                  </w:pPr>
                  <w:r>
                    <w:rPr>
                      <w:rFonts w:ascii="仿宋_GB2312" w:hAnsi="仿宋_GB2312" w:cs="仿宋_GB2312" w:eastAsia="仿宋_GB2312"/>
                      <w:sz w:val="16"/>
                    </w:rPr>
                    <w:t>3</w:t>
                  </w:r>
                </w:p>
              </w:tc>
              <w:tc>
                <w:tcPr>
                  <w:tcW w:type="dxa" w:w="587"/>
                </w:tcPr>
                <w:p>
                  <w:pPr>
                    <w:pStyle w:val="null3"/>
                  </w:pPr>
                  <w:r>
                    <w:rPr>
                      <w:rFonts w:ascii="仿宋_GB2312" w:hAnsi="仿宋_GB2312" w:cs="仿宋_GB2312" w:eastAsia="仿宋_GB2312"/>
                      <w:sz w:val="16"/>
                    </w:rPr>
                    <w:t>床单被套枕套</w:t>
                  </w:r>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1.被套规格：全棉，纱支40*40、密度133*72，长2150mm，宽1500mm，全棉印花；</w:t>
                        </w:r>
                        <w:r>
                          <w:br/>
                        </w:r>
                        <w:r>
                          <w:rPr>
                            <w:rFonts w:ascii="仿宋_GB2312" w:hAnsi="仿宋_GB2312" w:cs="仿宋_GB2312" w:eastAsia="仿宋_GB2312"/>
                            <w:sz w:val="16"/>
                            <w:color w:val="000000"/>
                          </w:rPr>
                          <w:t xml:space="preserve"> 2.床单规格：全棉，纱支40*40、密度133*72，长2200mm，</w:t>
                        </w:r>
                        <w:r>
                          <w:rPr>
                            <w:rFonts w:ascii="仿宋_GB2312" w:hAnsi="仿宋_GB2312" w:cs="仿宋_GB2312" w:eastAsia="仿宋_GB2312"/>
                            <w:sz w:val="16"/>
                            <w:color w:val="000000"/>
                          </w:rPr>
                          <w:t>宽1800mm，全棉印花；</w:t>
                        </w:r>
                        <w:r>
                          <w:br/>
                        </w:r>
                        <w:r>
                          <w:rPr>
                            <w:rFonts w:ascii="仿宋_GB2312" w:hAnsi="仿宋_GB2312" w:cs="仿宋_GB2312" w:eastAsia="仿宋_GB2312"/>
                            <w:sz w:val="16"/>
                            <w:color w:val="000000"/>
                          </w:rPr>
                          <w:t xml:space="preserve"> 3.枕套规格：全棉，纱支40*40、密度133*72，长620mm，宽400mm，全棉印花。</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套</w:t>
                        </w:r>
                      </w:p>
                    </w:tc>
                  </w:tr>
                </w:tbl>
                <w:p/>
              </w:tc>
              <w:tc>
                <w:tcPr>
                  <w:tcW w:type="dxa" w:w="587"/>
                </w:tcPr>
                <w:p>
                  <w:pPr>
                    <w:pStyle w:val="null3"/>
                  </w:pPr>
                  <w:r>
                    <w:rPr>
                      <w:rFonts w:ascii="仿宋_GB2312" w:hAnsi="仿宋_GB2312" w:cs="仿宋_GB2312" w:eastAsia="仿宋_GB2312"/>
                      <w:sz w:val="16"/>
                    </w:rPr>
                    <w:t>300</w:t>
                  </w:r>
                </w:p>
              </w:tc>
            </w:tr>
            <w:tr>
              <w:tc>
                <w:tcPr>
                  <w:tcW w:type="dxa" w:w="204"/>
                </w:tcPr>
                <w:p>
                  <w:pPr>
                    <w:pStyle w:val="null3"/>
                  </w:pPr>
                  <w:r>
                    <w:rPr>
                      <w:rFonts w:ascii="仿宋_GB2312" w:hAnsi="仿宋_GB2312" w:cs="仿宋_GB2312" w:eastAsia="仿宋_GB2312"/>
                      <w:sz w:val="16"/>
                    </w:rPr>
                    <w:t>4</w:t>
                  </w:r>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喊话器</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1.ABS航空材质，功率:≥50W；</w:t>
                        </w:r>
                        <w:r>
                          <w:br/>
                        </w:r>
                        <w:r>
                          <w:rPr>
                            <w:rFonts w:ascii="仿宋_GB2312" w:hAnsi="仿宋_GB2312" w:cs="仿宋_GB2312" w:eastAsia="仿宋_GB2312"/>
                            <w:sz w:val="16"/>
                            <w:color w:val="000000"/>
                          </w:rPr>
                          <w:t xml:space="preserve"> 2.尺寸：350*230mm(±3mm)，重量:≤1200g(含锂电池)；</w:t>
                        </w:r>
                        <w:r>
                          <w:br/>
                        </w:r>
                        <w:r>
                          <w:rPr>
                            <w:rFonts w:ascii="仿宋_GB2312" w:hAnsi="仿宋_GB2312" w:cs="仿宋_GB2312" w:eastAsia="仿宋_GB2312"/>
                            <w:sz w:val="16"/>
                            <w:color w:val="000000"/>
                          </w:rPr>
                          <w:t xml:space="preserve"> 3.电池容量:≥2600mAh，充电电压:12V，续航时间:≥</w:t>
                        </w:r>
                        <w:r>
                          <w:rPr>
                            <w:rFonts w:ascii="仿宋_GB2312" w:hAnsi="仿宋_GB2312" w:cs="仿宋_GB2312" w:eastAsia="仿宋_GB2312"/>
                            <w:sz w:val="16"/>
                            <w:color w:val="000000"/>
                          </w:rPr>
                          <w:t>24</w:t>
                        </w:r>
                        <w:r>
                          <w:rPr>
                            <w:rFonts w:ascii="仿宋_GB2312" w:hAnsi="仿宋_GB2312" w:cs="仿宋_GB2312" w:eastAsia="仿宋_GB2312"/>
                            <w:sz w:val="16"/>
                            <w:color w:val="000000"/>
                          </w:rPr>
                          <w:t>小时；</w:t>
                        </w:r>
                        <w:r>
                          <w:br/>
                        </w:r>
                        <w:r>
                          <w:rPr>
                            <w:rFonts w:ascii="仿宋_GB2312" w:hAnsi="仿宋_GB2312" w:cs="仿宋_GB2312" w:eastAsia="仿宋_GB2312"/>
                            <w:sz w:val="16"/>
                            <w:color w:val="000000"/>
                          </w:rPr>
                          <w:t xml:space="preserve"> 4.功能:喊话/扩音/播放音频，理论传输距离:≥1000米，插槽接口:USB接口/TF卡插槽/AUX音频。</w:t>
                        </w:r>
                      </w:p>
                    </w:tc>
                  </w:tr>
                </w:tbl>
                <w:p/>
              </w:tc>
              <w:tc>
                <w:tcPr>
                  <w:tcW w:type="dxa" w:w="587"/>
                </w:tcPr>
                <w:p>
                  <w:pPr>
                    <w:pStyle w:val="null3"/>
                  </w:pPr>
                  <w:r>
                    <w:rPr>
                      <w:rFonts w:ascii="仿宋_GB2312" w:hAnsi="仿宋_GB2312" w:cs="仿宋_GB2312" w:eastAsia="仿宋_GB2312"/>
                      <w:sz w:val="16"/>
                    </w:rPr>
                    <w:t>个</w:t>
                  </w:r>
                </w:p>
              </w:tc>
              <w:tc>
                <w:tcPr>
                  <w:tcW w:type="dxa" w:w="587"/>
                </w:tcPr>
                <w:p>
                  <w:pPr>
                    <w:pStyle w:val="null3"/>
                  </w:pPr>
                  <w:r>
                    <w:rPr>
                      <w:rFonts w:ascii="仿宋_GB2312" w:hAnsi="仿宋_GB2312" w:cs="仿宋_GB2312" w:eastAsia="仿宋_GB2312"/>
                      <w:sz w:val="16"/>
                    </w:rPr>
                    <w:t>110</w:t>
                  </w:r>
                </w:p>
              </w:tc>
            </w:tr>
            <w:tr>
              <w:tc>
                <w:tcPr>
                  <w:tcW w:type="dxa" w:w="204"/>
                </w:tcPr>
                <w:p>
                  <w:pPr>
                    <w:pStyle w:val="null3"/>
                  </w:pPr>
                  <w:r>
                    <w:rPr>
                      <w:rFonts w:ascii="仿宋_GB2312" w:hAnsi="仿宋_GB2312" w:cs="仿宋_GB2312" w:eastAsia="仿宋_GB2312"/>
                      <w:sz w:val="16"/>
                    </w:rPr>
                    <w:t>5</w:t>
                  </w:r>
                </w:p>
              </w:tc>
              <w:tc>
                <w:tcPr>
                  <w:tcW w:type="dxa" w:w="587"/>
                </w:tcPr>
                <w:p>
                  <w:pPr>
                    <w:pStyle w:val="null3"/>
                  </w:pPr>
                  <w:r>
                    <w:rPr>
                      <w:rFonts w:ascii="仿宋_GB2312" w:hAnsi="仿宋_GB2312" w:cs="仿宋_GB2312" w:eastAsia="仿宋_GB2312"/>
                      <w:sz w:val="16"/>
                    </w:rPr>
                    <w:t>★强光手电</w:t>
                  </w:r>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▲1.多功能强光巡检电筒为本质安全型结构,控制腔由透明件、壳体、后盖组成。内装电池、PCB板开关组件、PCB充电组件、PCB光源板、反光杯等；</w:t>
                        </w:r>
                        <w:r>
                          <w:br/>
                        </w:r>
                        <w:r>
                          <w:rPr>
                            <w:rFonts w:ascii="仿宋_GB2312" w:hAnsi="仿宋_GB2312" w:cs="仿宋_GB2312" w:eastAsia="仿宋_GB2312"/>
                            <w:sz w:val="16"/>
                            <w:color w:val="000000"/>
                          </w:rPr>
                          <w:t xml:space="preserve"> 2.高硬度合金外壳，表面氧化处理，抗冲击及防腐蚀性能好，可在各种恶劣环境条件下使用。轻盈美观，可放在衣袋中携带，操作简单方便；</w:t>
                        </w:r>
                        <w:r>
                          <w:br/>
                        </w:r>
                        <w:r>
                          <w:rPr>
                            <w:rFonts w:ascii="仿宋_GB2312" w:hAnsi="仿宋_GB2312" w:cs="仿宋_GB2312" w:eastAsia="仿宋_GB2312"/>
                            <w:sz w:val="16"/>
                            <w:color w:val="000000"/>
                          </w:rPr>
                          <w:t xml:space="preserve"> 3.电筒应具有强光、弱光、爆闪三种或以上工作模式；</w:t>
                        </w:r>
                        <w:r>
                          <w:br/>
                        </w:r>
                        <w:r>
                          <w:rPr>
                            <w:rFonts w:ascii="仿宋_GB2312" w:hAnsi="仿宋_GB2312" w:cs="仿宋_GB2312" w:eastAsia="仿宋_GB2312"/>
                            <w:sz w:val="16"/>
                            <w:color w:val="000000"/>
                          </w:rPr>
                          <w:t xml:space="preserve"> ▲4.防爆标志:Ex ib IICT6 Gb;Ex ib IIIC T8O°C Db（需提供国家认可的专业检测机构出具的防爆合格证复印件并加盖供应商公章）；</w:t>
                        </w:r>
                        <w:r>
                          <w:br/>
                        </w:r>
                        <w:r>
                          <w:rPr>
                            <w:rFonts w:ascii="仿宋_GB2312" w:hAnsi="仿宋_GB2312" w:cs="仿宋_GB2312" w:eastAsia="仿宋_GB2312"/>
                            <w:sz w:val="16"/>
                            <w:color w:val="000000"/>
                          </w:rPr>
                          <w:t xml:space="preserve"> 5.电筒强光模式放电时间：≥8h；</w:t>
                        </w:r>
                        <w:r>
                          <w:br/>
                        </w:r>
                        <w:r>
                          <w:rPr>
                            <w:rFonts w:ascii="仿宋_GB2312" w:hAnsi="仿宋_GB2312" w:cs="仿宋_GB2312" w:eastAsia="仿宋_GB2312"/>
                            <w:sz w:val="16"/>
                            <w:color w:val="000000"/>
                          </w:rPr>
                          <w:t xml:space="preserve"> 6.棱角形灯头设计，支持破窗、自卫等功能；</w:t>
                        </w:r>
                        <w:r>
                          <w:br/>
                        </w:r>
                        <w:r>
                          <w:rPr>
                            <w:rFonts w:ascii="仿宋_GB2312" w:hAnsi="仿宋_GB2312" w:cs="仿宋_GB2312" w:eastAsia="仿宋_GB2312"/>
                            <w:sz w:val="16"/>
                            <w:color w:val="000000"/>
                          </w:rPr>
                          <w:t xml:space="preserve"> 7.电筒支持电源适配器接入220V/50Hz交流电源充电；</w:t>
                        </w:r>
                        <w:r>
                          <w:br/>
                        </w:r>
                        <w:r>
                          <w:rPr>
                            <w:rFonts w:ascii="仿宋_GB2312" w:hAnsi="仿宋_GB2312" w:cs="仿宋_GB2312" w:eastAsia="仿宋_GB2312"/>
                            <w:sz w:val="16"/>
                            <w:color w:val="000000"/>
                          </w:rPr>
                          <w:t xml:space="preserve"> ▲8.电筒外壳防护等级≥IP68；</w:t>
                        </w:r>
                        <w:r>
                          <w:br/>
                        </w:r>
                        <w:r>
                          <w:rPr>
                            <w:rFonts w:ascii="仿宋_GB2312" w:hAnsi="仿宋_GB2312" w:cs="仿宋_GB2312" w:eastAsia="仿宋_GB2312"/>
                            <w:sz w:val="16"/>
                            <w:color w:val="000000"/>
                          </w:rPr>
                          <w:t xml:space="preserve"> ▲9.电筒在1米处高度跌落4次，结果判定:跌落试验产生的损伤不应使电气设备防爆型式失效；</w:t>
                        </w:r>
                        <w:r>
                          <w:br/>
                        </w:r>
                        <w:r>
                          <w:rPr>
                            <w:rFonts w:ascii="仿宋_GB2312" w:hAnsi="仿宋_GB2312" w:cs="仿宋_GB2312" w:eastAsia="仿宋_GB2312"/>
                            <w:sz w:val="16"/>
                            <w:color w:val="000000"/>
                          </w:rPr>
                          <w:t xml:space="preserve"> 10.灯具内部电路设计具有防止过充、过放、短路保护装置及开关防误操作功能；</w:t>
                        </w:r>
                        <w:r>
                          <w:br/>
                        </w:r>
                        <w:r>
                          <w:rPr>
                            <w:rFonts w:ascii="仿宋_GB2312" w:hAnsi="仿宋_GB2312" w:cs="仿宋_GB2312" w:eastAsia="仿宋_GB2312"/>
                            <w:sz w:val="16"/>
                            <w:color w:val="000000"/>
                          </w:rPr>
                          <w:t xml:space="preserve"> 11.额定电压：≥DC3.7V；</w:t>
                        </w:r>
                        <w:r>
                          <w:br/>
                        </w:r>
                        <w:r>
                          <w:rPr>
                            <w:rFonts w:ascii="仿宋_GB2312" w:hAnsi="仿宋_GB2312" w:cs="仿宋_GB2312" w:eastAsia="仿宋_GB2312"/>
                            <w:sz w:val="16"/>
                            <w:color w:val="000000"/>
                          </w:rPr>
                          <w:t xml:space="preserve"> 12.额定容量：≥2200mAh；</w:t>
                        </w:r>
                        <w:r>
                          <w:br/>
                        </w:r>
                        <w:r>
                          <w:rPr>
                            <w:rFonts w:ascii="仿宋_GB2312" w:hAnsi="仿宋_GB2312" w:cs="仿宋_GB2312" w:eastAsia="仿宋_GB2312"/>
                            <w:sz w:val="16"/>
                            <w:color w:val="000000"/>
                          </w:rPr>
                          <w:t xml:space="preserve"> ▲13.额定功率：≥5W；</w:t>
                        </w:r>
                        <w:r>
                          <w:br/>
                        </w:r>
                        <w:r>
                          <w:rPr>
                            <w:rFonts w:ascii="仿宋_GB2312" w:hAnsi="仿宋_GB2312" w:cs="仿宋_GB2312" w:eastAsia="仿宋_GB2312"/>
                            <w:sz w:val="16"/>
                            <w:color w:val="000000"/>
                          </w:rPr>
                          <w:t xml:space="preserve"> 14.光通量：≥360lm；</w:t>
                        </w:r>
                        <w:r>
                          <w:br/>
                        </w:r>
                        <w:r>
                          <w:rPr>
                            <w:rFonts w:ascii="仿宋_GB2312" w:hAnsi="仿宋_GB2312" w:cs="仿宋_GB2312" w:eastAsia="仿宋_GB2312"/>
                            <w:sz w:val="16"/>
                            <w:color w:val="000000"/>
                          </w:rPr>
                          <w:t xml:space="preserve"> 15.充电时间：≤6h；</w:t>
                        </w:r>
                        <w:r>
                          <w:br/>
                        </w:r>
                        <w:r>
                          <w:rPr>
                            <w:rFonts w:ascii="仿宋_GB2312" w:hAnsi="仿宋_GB2312" w:cs="仿宋_GB2312" w:eastAsia="仿宋_GB2312"/>
                            <w:sz w:val="16"/>
                            <w:color w:val="000000"/>
                          </w:rPr>
                          <w:t xml:space="preserve"> 16.电池使用寿命：≥1000（循环）；</w:t>
                        </w:r>
                        <w:r>
                          <w:br/>
                        </w:r>
                        <w:r>
                          <w:rPr>
                            <w:rFonts w:ascii="仿宋_GB2312" w:hAnsi="仿宋_GB2312" w:cs="仿宋_GB2312" w:eastAsia="仿宋_GB2312"/>
                            <w:sz w:val="16"/>
                            <w:color w:val="000000"/>
                          </w:rPr>
                          <w:t xml:space="preserve"> ▲17.外形尺寸：≤35×160mm(直径×长度)；</w:t>
                        </w:r>
                        <w:r>
                          <w:br/>
                        </w:r>
                        <w:r>
                          <w:rPr>
                            <w:rFonts w:ascii="仿宋_GB2312" w:hAnsi="仿宋_GB2312" w:cs="仿宋_GB2312" w:eastAsia="仿宋_GB2312"/>
                            <w:sz w:val="16"/>
                            <w:color w:val="000000"/>
                          </w:rPr>
                          <w:t xml:space="preserve"> 18.重量：≤240g；</w:t>
                        </w:r>
                        <w:r>
                          <w:br/>
                        </w:r>
                        <w:r>
                          <w:rPr>
                            <w:rFonts w:ascii="仿宋_GB2312" w:hAnsi="仿宋_GB2312" w:cs="仿宋_GB2312" w:eastAsia="仿宋_GB2312"/>
                            <w:sz w:val="16"/>
                            <w:color w:val="000000"/>
                          </w:rPr>
                          <w:t xml:space="preserve"> ★产品需提供国家强制性产品认证证书（3C认证）并加盖供应商公章；带▲项指标需提供具有CMA专业检测机构检测报告并加盖供应商公章。</w:t>
                        </w:r>
                      </w:p>
                    </w:tc>
                  </w:tr>
                </w:tbl>
                <w:p/>
              </w:tc>
              <w:tc>
                <w:tcPr>
                  <w:tcW w:type="dxa" w:w="587"/>
                </w:tcPr>
                <w:p>
                  <w:pPr>
                    <w:pStyle w:val="null3"/>
                  </w:pPr>
                  <w:r>
                    <w:rPr>
                      <w:rFonts w:ascii="仿宋_GB2312" w:hAnsi="仿宋_GB2312" w:cs="仿宋_GB2312" w:eastAsia="仿宋_GB2312"/>
                      <w:sz w:val="16"/>
                    </w:rPr>
                    <w:t>个</w:t>
                  </w:r>
                </w:p>
              </w:tc>
              <w:tc>
                <w:tcPr>
                  <w:tcW w:type="dxa" w:w="587"/>
                </w:tcPr>
                <w:p>
                  <w:pPr>
                    <w:pStyle w:val="null3"/>
                  </w:pPr>
                  <w:r>
                    <w:rPr>
                      <w:rFonts w:ascii="仿宋_GB2312" w:hAnsi="仿宋_GB2312" w:cs="仿宋_GB2312" w:eastAsia="仿宋_GB2312"/>
                      <w:sz w:val="16"/>
                    </w:rPr>
                    <w:t>270</w:t>
                  </w:r>
                </w:p>
              </w:tc>
            </w:tr>
            <w:tr>
              <w:tc>
                <w:tcPr>
                  <w:tcW w:type="dxa" w:w="204"/>
                </w:tcPr>
                <w:p>
                  <w:pPr>
                    <w:pStyle w:val="null3"/>
                  </w:pPr>
                  <w:r>
                    <w:rPr>
                      <w:rFonts w:ascii="仿宋_GB2312" w:hAnsi="仿宋_GB2312" w:cs="仿宋_GB2312" w:eastAsia="仿宋_GB2312"/>
                      <w:sz w:val="16"/>
                    </w:rPr>
                    <w:t>6</w:t>
                  </w:r>
                </w:p>
              </w:tc>
              <w:tc>
                <w:tcPr>
                  <w:tcW w:type="dxa" w:w="587"/>
                </w:tcPr>
                <w:p>
                  <w:pPr>
                    <w:pStyle w:val="null3"/>
                  </w:pPr>
                  <w:r>
                    <w:rPr>
                      <w:rFonts w:ascii="仿宋_GB2312" w:hAnsi="仿宋_GB2312" w:cs="仿宋_GB2312" w:eastAsia="仿宋_GB2312"/>
                      <w:sz w:val="16"/>
                    </w:rPr>
                    <w:t>★头灯</w:t>
                  </w:r>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▲1.防爆等级不低于：Ex ib IIC T4 Gb； Ex ib IIIC T130°C Db（需提供国家认可的专业检测机构出具的防爆合格证复印件并加盖供应商公章）；</w:t>
                        </w:r>
                        <w:r>
                          <w:br/>
                        </w:r>
                        <w:r>
                          <w:rPr>
                            <w:rFonts w:ascii="仿宋_GB2312" w:hAnsi="仿宋_GB2312" w:cs="仿宋_GB2312" w:eastAsia="仿宋_GB2312"/>
                            <w:sz w:val="16"/>
                            <w:color w:val="000000"/>
                          </w:rPr>
                          <w:t xml:space="preserve"> ▲2.额定电压≥3.7V,额定功率:≥3W，电池容量≥1800mAh；</w:t>
                        </w:r>
                        <w:r>
                          <w:br/>
                        </w:r>
                        <w:r>
                          <w:rPr>
                            <w:rFonts w:ascii="仿宋_GB2312" w:hAnsi="仿宋_GB2312" w:cs="仿宋_GB2312" w:eastAsia="仿宋_GB2312"/>
                            <w:sz w:val="16"/>
                            <w:color w:val="000000"/>
                          </w:rPr>
                          <w:t xml:space="preserve"> 3.工作时间:具有工作光、强光、爆闪三档光，强光工作时间应≥5h，工作光工作时间应≥10h；</w:t>
                        </w:r>
                        <w:r>
                          <w:br/>
                        </w:r>
                        <w:r>
                          <w:rPr>
                            <w:rFonts w:ascii="仿宋_GB2312" w:hAnsi="仿宋_GB2312" w:cs="仿宋_GB2312" w:eastAsia="仿宋_GB2312"/>
                            <w:sz w:val="16"/>
                            <w:color w:val="000000"/>
                          </w:rPr>
                          <w:t xml:space="preserve"> 4.灯具具有四段式电量显示，可以清晰查看电量剩余情况；采用Type-c充电设计，支持市场通用的USB接口充电；灯头可作45度调节，满足不同角度的照明需求；</w:t>
                        </w:r>
                        <w:r>
                          <w:br/>
                        </w:r>
                        <w:r>
                          <w:rPr>
                            <w:rFonts w:ascii="仿宋_GB2312" w:hAnsi="仿宋_GB2312" w:cs="仿宋_GB2312" w:eastAsia="仿宋_GB2312"/>
                            <w:sz w:val="16"/>
                            <w:color w:val="000000"/>
                          </w:rPr>
                          <w:t xml:space="preserve"> ▲5.设备应在环境温度20±5℃的条件下，从1m高度跌落≥4次，设备防爆型式未失效；</w:t>
                        </w:r>
                        <w:r>
                          <w:br/>
                        </w:r>
                        <w:r>
                          <w:rPr>
                            <w:rFonts w:ascii="仿宋_GB2312" w:hAnsi="仿宋_GB2312" w:cs="仿宋_GB2312" w:eastAsia="仿宋_GB2312"/>
                            <w:sz w:val="16"/>
                            <w:color w:val="000000"/>
                          </w:rPr>
                          <w:t xml:space="preserve"> ▲6.在试验电压≥500V，施压时间≥60S，本安电路与外壳之间应无闪络或击穿现象，且漏电流≤0.1mA；</w:t>
                        </w:r>
                        <w:r>
                          <w:br/>
                        </w:r>
                        <w:r>
                          <w:rPr>
                            <w:rFonts w:ascii="仿宋_GB2312" w:hAnsi="仿宋_GB2312" w:cs="仿宋_GB2312" w:eastAsia="仿宋_GB2312"/>
                            <w:sz w:val="16"/>
                            <w:color w:val="000000"/>
                          </w:rPr>
                          <w:t xml:space="preserve"> ▲7.防护等级：≥IP66；</w:t>
                        </w:r>
                        <w:r>
                          <w:br/>
                        </w:r>
                        <w:r>
                          <w:rPr>
                            <w:rFonts w:ascii="仿宋_GB2312" w:hAnsi="仿宋_GB2312" w:cs="仿宋_GB2312" w:eastAsia="仿宋_GB2312"/>
                            <w:sz w:val="16"/>
                            <w:color w:val="000000"/>
                          </w:rPr>
                          <w:t xml:space="preserve"> 8.电池组在短路至放电完为止,应无明显的电解液痕迹，电池结构未损坏；</w:t>
                        </w:r>
                        <w:r>
                          <w:br/>
                        </w:r>
                        <w:r>
                          <w:rPr>
                            <w:rFonts w:ascii="仿宋_GB2312" w:hAnsi="仿宋_GB2312" w:cs="仿宋_GB2312" w:eastAsia="仿宋_GB2312"/>
                            <w:sz w:val="16"/>
                            <w:color w:val="000000"/>
                          </w:rPr>
                          <w:t xml:space="preserve"> 9.提供国家认可的专业检测机构出具的检测报告及防爆合格证，带★需在检测报告中进行佐证；</w:t>
                        </w:r>
                        <w:r>
                          <w:br/>
                        </w:r>
                        <w:r>
                          <w:rPr>
                            <w:rFonts w:ascii="仿宋_GB2312" w:hAnsi="仿宋_GB2312" w:cs="仿宋_GB2312" w:eastAsia="仿宋_GB2312"/>
                            <w:sz w:val="16"/>
                            <w:color w:val="000000"/>
                          </w:rPr>
                          <w:t xml:space="preserve"> ★产品需提供国家强制性产品认证证书（3C认证）并加盖供应商公章；带▲号指标需提供具有CMA专业检测机构检测报告并加盖供应商公章。</w:t>
                        </w:r>
                      </w:p>
                    </w:tc>
                  </w:tr>
                </w:tbl>
                <w:p/>
              </w:tc>
              <w:tc>
                <w:tcPr>
                  <w:tcW w:type="dxa" w:w="587"/>
                </w:tcPr>
                <w:p>
                  <w:pPr>
                    <w:pStyle w:val="null3"/>
                  </w:pPr>
                  <w:r>
                    <w:rPr>
                      <w:rFonts w:ascii="仿宋_GB2312" w:hAnsi="仿宋_GB2312" w:cs="仿宋_GB2312" w:eastAsia="仿宋_GB2312"/>
                      <w:sz w:val="16"/>
                    </w:rPr>
                    <w:t>个</w:t>
                  </w:r>
                </w:p>
              </w:tc>
              <w:tc>
                <w:tcPr>
                  <w:tcW w:type="dxa" w:w="587"/>
                </w:tcPr>
                <w:p>
                  <w:pPr>
                    <w:pStyle w:val="null3"/>
                  </w:pPr>
                  <w:r>
                    <w:rPr>
                      <w:rFonts w:ascii="仿宋_GB2312" w:hAnsi="仿宋_GB2312" w:cs="仿宋_GB2312" w:eastAsia="仿宋_GB2312"/>
                      <w:sz w:val="16"/>
                    </w:rPr>
                    <w:t>150</w:t>
                  </w:r>
                </w:p>
              </w:tc>
            </w:tr>
            <w:tr>
              <w:tc>
                <w:tcPr>
                  <w:tcW w:type="dxa" w:w="204"/>
                </w:tcPr>
                <w:p>
                  <w:pPr>
                    <w:pStyle w:val="null3"/>
                  </w:pPr>
                  <w:r>
                    <w:rPr>
                      <w:rFonts w:ascii="仿宋_GB2312" w:hAnsi="仿宋_GB2312" w:cs="仿宋_GB2312" w:eastAsia="仿宋_GB2312"/>
                      <w:sz w:val="16"/>
                    </w:rPr>
                    <w:t>7</w:t>
                  </w:r>
                </w:p>
              </w:tc>
              <w:tc>
                <w:tcPr>
                  <w:tcW w:type="dxa" w:w="587"/>
                </w:tcPr>
                <w:p>
                  <w:pPr>
                    <w:pStyle w:val="null3"/>
                  </w:pPr>
                  <w:r>
                    <w:rPr>
                      <w:rFonts w:ascii="仿宋_GB2312" w:hAnsi="仿宋_GB2312" w:cs="仿宋_GB2312" w:eastAsia="仿宋_GB2312"/>
                      <w:sz w:val="16"/>
                    </w:rPr>
                    <w:t>救生衣</w:t>
                  </w:r>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1.牛津布、浮力≥75N；</w:t>
                        </w:r>
                        <w:r>
                          <w:br/>
                        </w:r>
                        <w:r>
                          <w:rPr>
                            <w:rFonts w:ascii="仿宋_GB2312" w:hAnsi="仿宋_GB2312" w:cs="仿宋_GB2312" w:eastAsia="仿宋_GB2312"/>
                            <w:sz w:val="16"/>
                            <w:color w:val="000000"/>
                          </w:rPr>
                          <w:t xml:space="preserve"> 2.配有夜间反光条、逃生口哨、腰部采用三排调节卡扣。</w:t>
                        </w:r>
                      </w:p>
                    </w:tc>
                  </w:tr>
                </w:tbl>
                <w:p/>
              </w:tc>
              <w:tc>
                <w:tcPr>
                  <w:tcW w:type="dxa" w:w="587"/>
                </w:tcPr>
                <w:p>
                  <w:pPr>
                    <w:pStyle w:val="null3"/>
                  </w:pPr>
                  <w:r>
                    <w:rPr>
                      <w:rFonts w:ascii="仿宋_GB2312" w:hAnsi="仿宋_GB2312" w:cs="仿宋_GB2312" w:eastAsia="仿宋_GB2312"/>
                      <w:sz w:val="16"/>
                    </w:rPr>
                    <w:t>个</w:t>
                  </w:r>
                </w:p>
              </w:tc>
              <w:tc>
                <w:tcPr>
                  <w:tcW w:type="dxa" w:w="587"/>
                </w:tcPr>
                <w:p>
                  <w:pPr>
                    <w:pStyle w:val="null3"/>
                  </w:pPr>
                  <w:r>
                    <w:rPr>
                      <w:rFonts w:ascii="仿宋_GB2312" w:hAnsi="仿宋_GB2312" w:cs="仿宋_GB2312" w:eastAsia="仿宋_GB2312"/>
                      <w:sz w:val="16"/>
                    </w:rPr>
                    <w:t>75</w:t>
                  </w:r>
                </w:p>
              </w:tc>
            </w:tr>
            <w:tr>
              <w:tc>
                <w:tcPr>
                  <w:tcW w:type="dxa" w:w="204"/>
                </w:tcPr>
                <w:p>
                  <w:pPr>
                    <w:pStyle w:val="null3"/>
                  </w:pPr>
                  <w:r>
                    <w:rPr>
                      <w:rFonts w:ascii="仿宋_GB2312" w:hAnsi="仿宋_GB2312" w:cs="仿宋_GB2312" w:eastAsia="仿宋_GB2312"/>
                      <w:sz w:val="16"/>
                    </w:rPr>
                    <w:t>8</w:t>
                  </w:r>
                </w:p>
              </w:tc>
              <w:tc>
                <w:tcPr>
                  <w:tcW w:type="dxa" w:w="587"/>
                </w:tcPr>
                <w:p>
                  <w:pPr>
                    <w:pStyle w:val="null3"/>
                  </w:pPr>
                  <w:r>
                    <w:rPr>
                      <w:rFonts w:ascii="仿宋_GB2312" w:hAnsi="仿宋_GB2312" w:cs="仿宋_GB2312" w:eastAsia="仿宋_GB2312"/>
                      <w:sz w:val="16"/>
                    </w:rPr>
                    <w:t>雨衣</w:t>
                  </w:r>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1.聚酯纤维，黑色，防水、防污、耐磨、防风、快速穿脱、舒爽透气、面料安全无气味；</w:t>
                        </w:r>
                        <w:r>
                          <w:br/>
                        </w:r>
                        <w:r>
                          <w:rPr>
                            <w:rFonts w:ascii="仿宋_GB2312" w:hAnsi="仿宋_GB2312" w:cs="仿宋_GB2312" w:eastAsia="仿宋_GB2312"/>
                            <w:sz w:val="16"/>
                            <w:color w:val="000000"/>
                          </w:rPr>
                          <w:t xml:space="preserve"> 2.连体式尺码：165-185#。</w:t>
                        </w:r>
                      </w:p>
                    </w:tc>
                  </w:tr>
                </w:tbl>
                <w:p/>
              </w:tc>
              <w:tc>
                <w:tcPr>
                  <w:tcW w:type="dxa" w:w="587"/>
                </w:tcPr>
                <w:p>
                  <w:pPr>
                    <w:pStyle w:val="null3"/>
                  </w:pPr>
                  <w:r>
                    <w:rPr>
                      <w:rFonts w:ascii="仿宋_GB2312" w:hAnsi="仿宋_GB2312" w:cs="仿宋_GB2312" w:eastAsia="仿宋_GB2312"/>
                      <w:sz w:val="16"/>
                    </w:rPr>
                    <w:t>件</w:t>
                  </w:r>
                </w:p>
              </w:tc>
              <w:tc>
                <w:tcPr>
                  <w:tcW w:type="dxa" w:w="587"/>
                </w:tcPr>
                <w:p>
                  <w:pPr>
                    <w:pStyle w:val="null3"/>
                  </w:pPr>
                  <w:r>
                    <w:rPr>
                      <w:rFonts w:ascii="仿宋_GB2312" w:hAnsi="仿宋_GB2312" w:cs="仿宋_GB2312" w:eastAsia="仿宋_GB2312"/>
                      <w:sz w:val="16"/>
                    </w:rPr>
                    <w:t>185</w:t>
                  </w:r>
                </w:p>
              </w:tc>
            </w:tr>
            <w:tr>
              <w:tc>
                <w:tcPr>
                  <w:tcW w:type="dxa" w:w="204"/>
                </w:tcPr>
                <w:p>
                  <w:pPr>
                    <w:pStyle w:val="null3"/>
                  </w:pPr>
                  <w:r>
                    <w:rPr>
                      <w:rFonts w:ascii="仿宋_GB2312" w:hAnsi="仿宋_GB2312" w:cs="仿宋_GB2312" w:eastAsia="仿宋_GB2312"/>
                      <w:sz w:val="16"/>
                    </w:rPr>
                    <w:t>9</w:t>
                  </w:r>
                </w:p>
              </w:tc>
              <w:tc>
                <w:tcPr>
                  <w:tcW w:type="dxa" w:w="587"/>
                </w:tcPr>
                <w:p>
                  <w:pPr>
                    <w:pStyle w:val="null3"/>
                  </w:pPr>
                  <w:r>
                    <w:rPr>
                      <w:rFonts w:ascii="仿宋_GB2312" w:hAnsi="仿宋_GB2312" w:cs="仿宋_GB2312" w:eastAsia="仿宋_GB2312"/>
                      <w:sz w:val="16"/>
                    </w:rPr>
                    <w:t>雨鞋</w:t>
                  </w:r>
                </w:p>
              </w:tc>
              <w:tc>
                <w:tcPr>
                  <w:tcW w:type="dxa" w:w="587"/>
                </w:tcPr>
                <w:p>
                  <w:pPr>
                    <w:pStyle w:val="null3"/>
                  </w:pPr>
                  <w:r>
                    <w:rPr>
                      <w:rFonts w:ascii="仿宋_GB2312" w:hAnsi="仿宋_GB2312" w:cs="仿宋_GB2312" w:eastAsia="仿宋_GB2312"/>
                      <w:sz w:val="16"/>
                    </w:rPr>
                    <w:t>1.高筒加厚，防撞防刮防滑,耐酸碱雨鞋。</w:t>
                  </w:r>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双</w:t>
                        </w:r>
                      </w:p>
                    </w:tc>
                  </w:tr>
                </w:tbl>
                <w:p/>
              </w:tc>
              <w:tc>
                <w:tcPr>
                  <w:tcW w:type="dxa" w:w="587"/>
                </w:tcPr>
                <w:p>
                  <w:pPr>
                    <w:pStyle w:val="null3"/>
                  </w:pPr>
                  <w:r>
                    <w:rPr>
                      <w:rFonts w:ascii="仿宋_GB2312" w:hAnsi="仿宋_GB2312" w:cs="仿宋_GB2312" w:eastAsia="仿宋_GB2312"/>
                      <w:sz w:val="16"/>
                    </w:rPr>
                    <w:t>240</w:t>
                  </w:r>
                </w:p>
              </w:tc>
            </w:tr>
            <w:tr>
              <w:tc>
                <w:tcPr>
                  <w:tcW w:type="dxa" w:w="204"/>
                </w:tcPr>
                <w:p>
                  <w:pPr>
                    <w:pStyle w:val="null3"/>
                  </w:pPr>
                  <w:r>
                    <w:rPr>
                      <w:rFonts w:ascii="仿宋_GB2312" w:hAnsi="仿宋_GB2312" w:cs="仿宋_GB2312" w:eastAsia="仿宋_GB2312"/>
                      <w:sz w:val="16"/>
                    </w:rPr>
                    <w:t>10</w:t>
                  </w:r>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多功能应急灯</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1.光通量≥3000lm；</w:t>
                        </w:r>
                        <w:r>
                          <w:br/>
                        </w:r>
                        <w:r>
                          <w:rPr>
                            <w:rFonts w:ascii="仿宋_GB2312" w:hAnsi="仿宋_GB2312" w:cs="仿宋_GB2312" w:eastAsia="仿宋_GB2312"/>
                            <w:sz w:val="16"/>
                            <w:color w:val="000000"/>
                          </w:rPr>
                          <w:t xml:space="preserve"> 2.最长续航≥100h(低亮度时)；</w:t>
                        </w:r>
                        <w:r>
                          <w:br/>
                        </w:r>
                        <w:r>
                          <w:rPr>
                            <w:rFonts w:ascii="仿宋_GB2312" w:hAnsi="仿宋_GB2312" w:cs="仿宋_GB2312" w:eastAsia="仿宋_GB2312"/>
                            <w:sz w:val="16"/>
                            <w:color w:val="000000"/>
                          </w:rPr>
                          <w:t xml:space="preserve"> 3.充电式；ABS+IPX6级防水设计。</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个</w:t>
                        </w:r>
                      </w:p>
                    </w:tc>
                  </w:tr>
                </w:tbl>
                <w:p/>
              </w:tc>
              <w:tc>
                <w:tcPr>
                  <w:tcW w:type="dxa" w:w="587"/>
                </w:tcPr>
                <w:p>
                  <w:pPr>
                    <w:pStyle w:val="null3"/>
                  </w:pPr>
                  <w:r>
                    <w:rPr>
                      <w:rFonts w:ascii="仿宋_GB2312" w:hAnsi="仿宋_GB2312" w:cs="仿宋_GB2312" w:eastAsia="仿宋_GB2312"/>
                      <w:sz w:val="16"/>
                    </w:rPr>
                    <w:t>100</w:t>
                  </w:r>
                </w:p>
              </w:tc>
            </w:tr>
            <w:tr>
              <w:tc>
                <w:tcPr>
                  <w:tcW w:type="dxa" w:w="204"/>
                </w:tcPr>
                <w:p>
                  <w:pPr>
                    <w:pStyle w:val="null3"/>
                  </w:pPr>
                  <w:r>
                    <w:rPr>
                      <w:rFonts w:ascii="仿宋_GB2312" w:hAnsi="仿宋_GB2312" w:cs="仿宋_GB2312" w:eastAsia="仿宋_GB2312"/>
                      <w:sz w:val="16"/>
                    </w:rPr>
                    <w:t>11</w:t>
                  </w:r>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折叠桌</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1.铝合金；长度120cm；宽度60cm；可调节高度55/65/70cm；</w:t>
                        </w:r>
                        <w:r>
                          <w:br/>
                        </w:r>
                        <w:r>
                          <w:rPr>
                            <w:rFonts w:ascii="仿宋_GB2312" w:hAnsi="仿宋_GB2312" w:cs="仿宋_GB2312" w:eastAsia="仿宋_GB2312"/>
                            <w:sz w:val="16"/>
                            <w:color w:val="000000"/>
                          </w:rPr>
                          <w:t xml:space="preserve"> 2.桌面防火密度板；承重≥100kg；可折叠，内部含4个折叠凳；颜色：银白。</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个</w:t>
                        </w:r>
                      </w:p>
                    </w:tc>
                  </w:tr>
                </w:tbl>
                <w:p/>
              </w:tc>
              <w:tc>
                <w:tcPr>
                  <w:tcW w:type="dxa" w:w="587"/>
                </w:tcPr>
                <w:p>
                  <w:pPr>
                    <w:pStyle w:val="null3"/>
                  </w:pPr>
                  <w:r>
                    <w:rPr>
                      <w:rFonts w:ascii="仿宋_GB2312" w:hAnsi="仿宋_GB2312" w:cs="仿宋_GB2312" w:eastAsia="仿宋_GB2312"/>
                      <w:sz w:val="16"/>
                    </w:rPr>
                    <w:t>15</w:t>
                  </w:r>
                </w:p>
              </w:tc>
            </w:tr>
            <w:tr>
              <w:tc>
                <w:tcPr>
                  <w:tcW w:type="dxa" w:w="204"/>
                </w:tcPr>
                <w:p>
                  <w:pPr>
                    <w:pStyle w:val="null3"/>
                  </w:pPr>
                  <w:r>
                    <w:rPr>
                      <w:rFonts w:ascii="仿宋_GB2312" w:hAnsi="仿宋_GB2312" w:cs="仿宋_GB2312" w:eastAsia="仿宋_GB2312"/>
                      <w:sz w:val="16"/>
                    </w:rPr>
                    <w:t>12</w:t>
                  </w:r>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哨子</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1.双孔高分贝优质响铜口哨，带挂环单个包装。</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个</w:t>
                        </w:r>
                      </w:p>
                    </w:tc>
                  </w:tr>
                </w:tbl>
                <w:p/>
              </w:tc>
              <w:tc>
                <w:tcPr>
                  <w:tcW w:type="dxa" w:w="587"/>
                </w:tcPr>
                <w:p>
                  <w:pPr>
                    <w:pStyle w:val="null3"/>
                  </w:pPr>
                  <w:r>
                    <w:rPr>
                      <w:rFonts w:ascii="仿宋_GB2312" w:hAnsi="仿宋_GB2312" w:cs="仿宋_GB2312" w:eastAsia="仿宋_GB2312"/>
                      <w:sz w:val="16"/>
                    </w:rPr>
                    <w:t>80</w:t>
                  </w:r>
                </w:p>
              </w:tc>
            </w:tr>
            <w:tr>
              <w:tc>
                <w:tcPr>
                  <w:tcW w:type="dxa" w:w="204"/>
                </w:tcPr>
                <w:p>
                  <w:pPr>
                    <w:pStyle w:val="null3"/>
                  </w:pPr>
                  <w:r>
                    <w:rPr>
                      <w:rFonts w:ascii="仿宋_GB2312" w:hAnsi="仿宋_GB2312" w:cs="仿宋_GB2312" w:eastAsia="仿宋_GB2312"/>
                      <w:sz w:val="16"/>
                    </w:rPr>
                    <w:t>13</w:t>
                  </w:r>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铜锣</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1.防汛铜锣，直径32cm，响铜，带锣锤，手提绳，单个包装。</w:t>
                        </w:r>
                      </w:p>
                    </w:tc>
                  </w:tr>
                </w:tbl>
                <w:p/>
              </w:tc>
              <w:tc>
                <w:tcPr>
                  <w:tcW w:type="dxa" w:w="587"/>
                </w:tcPr>
                <w:p>
                  <w:pPr>
                    <w:pStyle w:val="null3"/>
                  </w:pPr>
                  <w:r>
                    <w:rPr>
                      <w:rFonts w:ascii="仿宋_GB2312" w:hAnsi="仿宋_GB2312" w:cs="仿宋_GB2312" w:eastAsia="仿宋_GB2312"/>
                      <w:sz w:val="16"/>
                    </w:rPr>
                    <w:t>个</w:t>
                  </w:r>
                </w:p>
              </w:tc>
              <w:tc>
                <w:tcPr>
                  <w:tcW w:type="dxa" w:w="587"/>
                </w:tcPr>
                <w:p>
                  <w:pPr>
                    <w:pStyle w:val="null3"/>
                  </w:pPr>
                  <w:r>
                    <w:rPr>
                      <w:rFonts w:ascii="仿宋_GB2312" w:hAnsi="仿宋_GB2312" w:cs="仿宋_GB2312" w:eastAsia="仿宋_GB2312"/>
                      <w:sz w:val="16"/>
                    </w:rPr>
                    <w:t>80</w:t>
                  </w:r>
                </w:p>
              </w:tc>
            </w:tr>
            <w:tr>
              <w:tc>
                <w:tcPr>
                  <w:tcW w:type="dxa" w:w="204"/>
                </w:tcPr>
                <w:p>
                  <w:pPr>
                    <w:pStyle w:val="null3"/>
                  </w:pPr>
                  <w:r>
                    <w:rPr>
                      <w:rFonts w:ascii="仿宋_GB2312" w:hAnsi="仿宋_GB2312" w:cs="仿宋_GB2312" w:eastAsia="仿宋_GB2312"/>
                      <w:sz w:val="16"/>
                    </w:rPr>
                    <w:t>14</w:t>
                  </w:r>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钢钎</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1.材质：高碳钢，尺寸：约1100*23mm±10mm。</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把</w:t>
                        </w:r>
                      </w:p>
                    </w:tc>
                  </w:tr>
                </w:tbl>
                <w:p/>
              </w:tc>
              <w:tc>
                <w:tcPr>
                  <w:tcW w:type="dxa" w:w="587"/>
                </w:tcPr>
                <w:p>
                  <w:pPr>
                    <w:pStyle w:val="null3"/>
                  </w:pPr>
                  <w:r>
                    <w:rPr>
                      <w:rFonts w:ascii="仿宋_GB2312" w:hAnsi="仿宋_GB2312" w:cs="仿宋_GB2312" w:eastAsia="仿宋_GB2312"/>
                      <w:sz w:val="16"/>
                    </w:rPr>
                    <w:t>20</w:t>
                  </w:r>
                </w:p>
              </w:tc>
            </w:tr>
            <w:tr>
              <w:tc>
                <w:tcPr>
                  <w:tcW w:type="dxa" w:w="204"/>
                </w:tcPr>
                <w:p>
                  <w:pPr>
                    <w:pStyle w:val="null3"/>
                  </w:pPr>
                  <w:r>
                    <w:rPr>
                      <w:rFonts w:ascii="仿宋_GB2312" w:hAnsi="仿宋_GB2312" w:cs="仿宋_GB2312" w:eastAsia="仿宋_GB2312"/>
                      <w:sz w:val="16"/>
                    </w:rPr>
                    <w:t>15</w:t>
                  </w:r>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铁镐</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1.材质 镐柄：槐木柄，镐头：高碳钢；</w:t>
                        </w:r>
                        <w:r>
                          <w:br/>
                        </w:r>
                        <w:r>
                          <w:rPr>
                            <w:rFonts w:ascii="仿宋_GB2312" w:hAnsi="仿宋_GB2312" w:cs="仿宋_GB2312" w:eastAsia="仿宋_GB2312"/>
                            <w:sz w:val="16"/>
                            <w:color w:val="000000"/>
                          </w:rPr>
                          <w:t xml:space="preserve"> 2.尺寸：镐柄长100cm±2cm，镐头长57cm±1cm，镐头扁宽：5.5cm±1cm；</w:t>
                        </w:r>
                        <w:r>
                          <w:br/>
                        </w:r>
                        <w:r>
                          <w:rPr>
                            <w:rFonts w:ascii="仿宋_GB2312" w:hAnsi="仿宋_GB2312" w:cs="仿宋_GB2312" w:eastAsia="仿宋_GB2312"/>
                            <w:sz w:val="16"/>
                            <w:color w:val="000000"/>
                          </w:rPr>
                          <w:t xml:space="preserve"> 3.重量：≤3.2KG。</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把</w:t>
                        </w:r>
                      </w:p>
                    </w:tc>
                  </w:tr>
                </w:tbl>
                <w:p/>
              </w:tc>
              <w:tc>
                <w:tcPr>
                  <w:tcW w:type="dxa" w:w="587"/>
                </w:tcPr>
                <w:p>
                  <w:pPr>
                    <w:pStyle w:val="null3"/>
                  </w:pPr>
                  <w:r>
                    <w:rPr>
                      <w:rFonts w:ascii="仿宋_GB2312" w:hAnsi="仿宋_GB2312" w:cs="仿宋_GB2312" w:eastAsia="仿宋_GB2312"/>
                      <w:sz w:val="16"/>
                    </w:rPr>
                    <w:t>40</w:t>
                  </w:r>
                </w:p>
              </w:tc>
            </w:tr>
            <w:tr>
              <w:tc>
                <w:tcPr>
                  <w:tcW w:type="dxa" w:w="204"/>
                </w:tcPr>
                <w:p>
                  <w:pPr>
                    <w:pStyle w:val="null3"/>
                  </w:pPr>
                  <w:r>
                    <w:rPr>
                      <w:rFonts w:ascii="仿宋_GB2312" w:hAnsi="仿宋_GB2312" w:cs="仿宋_GB2312" w:eastAsia="仿宋_GB2312"/>
                      <w:sz w:val="16"/>
                    </w:rPr>
                    <w:t>16</w:t>
                  </w:r>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薅锄</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1.全长：≥120cm，重量：≤1.6kg；</w:t>
                        </w:r>
                        <w:r>
                          <w:br/>
                        </w:r>
                        <w:r>
                          <w:rPr>
                            <w:rFonts w:ascii="仿宋_GB2312" w:hAnsi="仿宋_GB2312" w:cs="仿宋_GB2312" w:eastAsia="仿宋_GB2312"/>
                            <w:sz w:val="16"/>
                            <w:color w:val="000000"/>
                          </w:rPr>
                          <w:t xml:space="preserve"> 2.铲头材质：50号钢；</w:t>
                        </w:r>
                        <w:r>
                          <w:br/>
                        </w:r>
                        <w:r>
                          <w:rPr>
                            <w:rFonts w:ascii="仿宋_GB2312" w:hAnsi="仿宋_GB2312" w:cs="仿宋_GB2312" w:eastAsia="仿宋_GB2312"/>
                            <w:sz w:val="16"/>
                            <w:color w:val="000000"/>
                          </w:rPr>
                          <w:t xml:space="preserve"> 3.硬度：≥HRC45；</w:t>
                        </w:r>
                        <w:r>
                          <w:br/>
                        </w:r>
                        <w:r>
                          <w:rPr>
                            <w:rFonts w:ascii="仿宋_GB2312" w:hAnsi="仿宋_GB2312" w:cs="仿宋_GB2312" w:eastAsia="仿宋_GB2312"/>
                            <w:sz w:val="16"/>
                            <w:color w:val="000000"/>
                          </w:rPr>
                          <w:t xml:space="preserve"> 4.铲头尺寸：30cm*24.5cm±1cm。</w:t>
                        </w:r>
                      </w:p>
                    </w:tc>
                  </w:tr>
                </w:tbl>
                <w:p/>
              </w:tc>
              <w:tc>
                <w:tcPr>
                  <w:tcW w:type="dxa" w:w="587"/>
                </w:tcPr>
                <w:p>
                  <w:pPr>
                    <w:pStyle w:val="null3"/>
                  </w:pPr>
                  <w:r>
                    <w:rPr>
                      <w:rFonts w:ascii="仿宋_GB2312" w:hAnsi="仿宋_GB2312" w:cs="仿宋_GB2312" w:eastAsia="仿宋_GB2312"/>
                      <w:sz w:val="16"/>
                    </w:rPr>
                    <w:t>把</w:t>
                  </w:r>
                </w:p>
              </w:tc>
              <w:tc>
                <w:tcPr>
                  <w:tcW w:type="dxa" w:w="587"/>
                </w:tcPr>
                <w:p>
                  <w:pPr>
                    <w:pStyle w:val="null3"/>
                  </w:pPr>
                  <w:r>
                    <w:rPr>
                      <w:rFonts w:ascii="仿宋_GB2312" w:hAnsi="仿宋_GB2312" w:cs="仿宋_GB2312" w:eastAsia="仿宋_GB2312"/>
                      <w:sz w:val="16"/>
                    </w:rPr>
                    <w:t>80</w:t>
                  </w:r>
                </w:p>
              </w:tc>
            </w:tr>
            <w:tr>
              <w:tc>
                <w:tcPr>
                  <w:tcW w:type="dxa" w:w="204"/>
                </w:tcPr>
                <w:p>
                  <w:pPr>
                    <w:pStyle w:val="null3"/>
                  </w:pPr>
                  <w:r>
                    <w:rPr>
                      <w:rFonts w:ascii="仿宋_GB2312" w:hAnsi="仿宋_GB2312" w:cs="仿宋_GB2312" w:eastAsia="仿宋_GB2312"/>
                      <w:sz w:val="16"/>
                    </w:rPr>
                    <w:t>17</w:t>
                  </w:r>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铁锹</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1.全长：≥120cm，重量：≤1.6kg；</w:t>
                        </w:r>
                        <w:r>
                          <w:br/>
                        </w:r>
                        <w:r>
                          <w:rPr>
                            <w:rFonts w:ascii="仿宋_GB2312" w:hAnsi="仿宋_GB2312" w:cs="仿宋_GB2312" w:eastAsia="仿宋_GB2312"/>
                            <w:sz w:val="16"/>
                            <w:color w:val="000000"/>
                          </w:rPr>
                          <w:t xml:space="preserve"> 2.铲头材质：50号钢；</w:t>
                        </w:r>
                        <w:r>
                          <w:br/>
                        </w:r>
                        <w:r>
                          <w:rPr>
                            <w:rFonts w:ascii="仿宋_GB2312" w:hAnsi="仿宋_GB2312" w:cs="仿宋_GB2312" w:eastAsia="仿宋_GB2312"/>
                            <w:sz w:val="16"/>
                            <w:color w:val="000000"/>
                          </w:rPr>
                          <w:t xml:space="preserve"> 3.硬度：≥HRC45；</w:t>
                        </w:r>
                        <w:r>
                          <w:br/>
                        </w:r>
                        <w:r>
                          <w:rPr>
                            <w:rFonts w:ascii="仿宋_GB2312" w:hAnsi="仿宋_GB2312" w:cs="仿宋_GB2312" w:eastAsia="仿宋_GB2312"/>
                            <w:sz w:val="16"/>
                            <w:color w:val="000000"/>
                          </w:rPr>
                          <w:t xml:space="preserve"> 4.铲头尺寸：30cm*24.5cm±2cm。</w:t>
                        </w:r>
                      </w:p>
                    </w:tc>
                  </w:tr>
                </w:tbl>
                <w:p/>
              </w:tc>
              <w:tc>
                <w:tcPr>
                  <w:tcW w:type="dxa" w:w="587"/>
                </w:tcPr>
                <w:p>
                  <w:pPr>
                    <w:pStyle w:val="null3"/>
                  </w:pPr>
                  <w:r>
                    <w:rPr>
                      <w:rFonts w:ascii="仿宋_GB2312" w:hAnsi="仿宋_GB2312" w:cs="仿宋_GB2312" w:eastAsia="仿宋_GB2312"/>
                      <w:sz w:val="16"/>
                    </w:rPr>
                    <w:t>把</w:t>
                  </w:r>
                </w:p>
              </w:tc>
              <w:tc>
                <w:tcPr>
                  <w:tcW w:type="dxa" w:w="587"/>
                </w:tcPr>
                <w:p>
                  <w:pPr>
                    <w:pStyle w:val="null3"/>
                  </w:pPr>
                  <w:r>
                    <w:rPr>
                      <w:rFonts w:ascii="仿宋_GB2312" w:hAnsi="仿宋_GB2312" w:cs="仿宋_GB2312" w:eastAsia="仿宋_GB2312"/>
                      <w:sz w:val="16"/>
                    </w:rPr>
                    <w:t>120</w:t>
                  </w:r>
                </w:p>
              </w:tc>
            </w:tr>
            <w:tr>
              <w:tc>
                <w:tcPr>
                  <w:tcW w:type="dxa" w:w="204"/>
                </w:tcPr>
                <w:p>
                  <w:pPr>
                    <w:pStyle w:val="null3"/>
                  </w:pPr>
                  <w:r>
                    <w:rPr>
                      <w:rFonts w:ascii="仿宋_GB2312" w:hAnsi="仿宋_GB2312" w:cs="仿宋_GB2312" w:eastAsia="仿宋_GB2312"/>
                      <w:sz w:val="16"/>
                    </w:rPr>
                    <w:t>18</w:t>
                  </w:r>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汽油桶（20L)</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1.防火、防爆、防锈。</w:t>
                        </w:r>
                      </w:p>
                    </w:tc>
                  </w:tr>
                </w:tbl>
                <w:p/>
              </w:tc>
              <w:tc>
                <w:tcPr>
                  <w:tcW w:type="dxa" w:w="587"/>
                </w:tcPr>
                <w:p>
                  <w:pPr>
                    <w:pStyle w:val="null3"/>
                  </w:pPr>
                  <w:r>
                    <w:rPr>
                      <w:rFonts w:ascii="仿宋_GB2312" w:hAnsi="仿宋_GB2312" w:cs="仿宋_GB2312" w:eastAsia="仿宋_GB2312"/>
                      <w:sz w:val="16"/>
                    </w:rPr>
                    <w:t>个</w:t>
                  </w:r>
                </w:p>
              </w:tc>
              <w:tc>
                <w:tcPr>
                  <w:tcW w:type="dxa" w:w="587"/>
                </w:tcPr>
                <w:p>
                  <w:pPr>
                    <w:pStyle w:val="null3"/>
                  </w:pPr>
                  <w:r>
                    <w:rPr>
                      <w:rFonts w:ascii="仿宋_GB2312" w:hAnsi="仿宋_GB2312" w:cs="仿宋_GB2312" w:eastAsia="仿宋_GB2312"/>
                      <w:sz w:val="16"/>
                    </w:rPr>
                    <w:t>5</w:t>
                  </w:r>
                </w:p>
              </w:tc>
            </w:tr>
            <w:tr>
              <w:tc>
                <w:tcPr>
                  <w:tcW w:type="dxa" w:w="204"/>
                </w:tcPr>
                <w:p>
                  <w:pPr>
                    <w:pStyle w:val="null3"/>
                  </w:pPr>
                  <w:r>
                    <w:rPr>
                      <w:rFonts w:ascii="仿宋_GB2312" w:hAnsi="仿宋_GB2312" w:cs="仿宋_GB2312" w:eastAsia="仿宋_GB2312"/>
                      <w:sz w:val="16"/>
                    </w:rPr>
                    <w:t>19</w:t>
                  </w:r>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安全绳（30米）</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1.绳径≥12mm；承重≥2900kg；配O型锁2个，葫芦扣2个；高耐磨、耐高温。</w:t>
                        </w:r>
                      </w:p>
                    </w:tc>
                  </w:tr>
                </w:tbl>
                <w:p/>
              </w:tc>
              <w:tc>
                <w:tcPr>
                  <w:tcW w:type="dxa" w:w="587"/>
                </w:tcPr>
                <w:tbl>
                  <w:tblPr>
                    <w:tblBorders>
                      <w:top w:val="single"/>
                      <w:left w:val="single"/>
                      <w:bottom w:val="single"/>
                      <w:right w:val="single"/>
                      <w:insideH w:val="single"/>
                      <w:insideV w:val="single"/>
                    </w:tblBorders>
                  </w:tblPr>
                  <w:tblGrid>
                    <w:gridCol w:w="371"/>
                  </w:tblGrid>
                  <w:tr>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条</w:t>
                        </w:r>
                      </w:p>
                    </w:tc>
                  </w:tr>
                </w:tbl>
                <w:p/>
              </w:tc>
              <w:tc>
                <w:tcPr>
                  <w:tcW w:type="dxa" w:w="587"/>
                </w:tcPr>
                <w:p>
                  <w:pPr>
                    <w:pStyle w:val="null3"/>
                  </w:pPr>
                  <w:r>
                    <w:rPr>
                      <w:rFonts w:ascii="仿宋_GB2312" w:hAnsi="仿宋_GB2312" w:cs="仿宋_GB2312" w:eastAsia="仿宋_GB2312"/>
                      <w:sz w:val="16"/>
                    </w:rPr>
                    <w:t>20</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佛坪县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其他，项目全部结束验收合格后，达到付款条件起15个工作日内，支付合同总金额的100.0%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符合相关标准要求并通过采购人验收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1.在执行本合同中发生的或与本合同有关的争端，双方应通过友好协商解决，经协商在10日内不能达成协议时，应提交当地仲裁委员会仲裁。2.仲裁裁决应为最终决定，并对双方具有约束力。</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法定代表人或单位负责人直接参加开标的，须出具法人身份证或单位负责人身份证；法定代表人或单位负责人授权代表参加开标的，须出具法定代表人授权书或单位负责人授权书及授权代表身份证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投标人应按照汉中市财政局《关于全面推行政府采购供应商基本资格条件承诺制的通知》（汉采办采管〔2024〕20号）文件要求，提供《汉中市政府采购供应商资格承诺函》并加盖公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供应商应提供《非联合体声明》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应满足招标文件中的要求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产品技术参数表 投标函 中小企业声明函 残疾人福利性单位声明函 商务应答表 技术及商务方案.docx 供应商应提交的相关资格证明材料.pdf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只能有一个有效报价，不得提交选择性报价，且报价不得超过采购预算金额</w:t>
            </w:r>
          </w:p>
        </w:tc>
        <w:tc>
          <w:tcPr>
            <w:tcW w:type="dxa" w:w="1661"/>
          </w:tcPr>
          <w:p>
            <w:pPr>
              <w:pStyle w:val="null3"/>
            </w:pPr>
            <w:r>
              <w:rPr>
                <w:rFonts w:ascii="仿宋_GB2312" w:hAnsi="仿宋_GB2312" w:cs="仿宋_GB2312" w:eastAsia="仿宋_GB2312"/>
              </w:rPr>
              <w:t>开标一览表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重要指标：根据投标人对标“▲”项（共11项）技术参数与性能指标的响应情况： 完全满足招标文件要求的，得11分，每项负偏离或不满足扣1分，扣完为止（按要求提供相关佐证材料，未提供的不得分）； 非重要指标：根据投标人对非标“▲”项（共54项）技术参数与性能指标的响应情况： 完全满足招标文件要求的，得34分，每项负偏离扣0.7分，扣完为止（以技术响应偏离表为准）。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针对本项目提供项目实施方案，包含①供货方案；②安装调试③验收组织等。项目实施方案共3项。 1.项目实施方案内容完整，各项举措详实、操作性强，每项计2分，最高计6分； 2.项目实施方案内容基本齐全，但部分举措描述简略、不够细化，每项计1.5分； 3.项目实施方案内容笼统、仅作一般性说明，缺少具体方案或不适用于本项目，每项计1分；未提供不计分。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针对本项目提供质量保证措施，包含①质量保证体系；②质量保障方案及控制措施；③质量目标及主体责任承诺等。质量保证措施共3项。 1.质量保证措施内容有效可行、措施得力，每项计2分，最高计6分； 2.质量保证措施内容基本齐全，但部分举措描述简略、不够细化，每项计1.5分； 3.质量保证措施内容笼统、仅作一般性说明，缺少具体措施或不适用于本项目，每项计1分；未提供不计分。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针对本项目提供进度保证措施，包含①项目实施进度目标分析；②进度计划及关键节点；③进度保障措施。进度保证措施共3项。 1.进度保证措施内容完整，各项举措详实、操作性强，每项计1分，最高计3分； 2.进度保证措施内容基本齐全，但部分举措描述简略、不够细化，每项计0.7分； 3.进度保证措施内容笼统、仅作一般性说明，缺少具体措施或不适用于本项目，每项计0.4分；未提供不计分。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提供2023年1月至今（以合同签订时间为准）类似项目的业绩，每个业绩得2.5分，最多得5分，无业绩不得分（提供成交通知书或合同复印件加盖单位公章）。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投标人提供本项目售后服务方案，包括①各类故障解决措施及响应时间；②日常维护方案及应急预案；③售后服务网点及售后服务人员安排；④售后服务承诺；⑤培训方案。售后服务方案共5项。 1.售后服务方案内容完整，各项举措详实、操作性强，每项计1分，最高计5分； 2.售后服务方案内容基本齐全，但部分举措描述简略、不够细化，每项计0.7分； 3.售后服务方案内容笼统、仅作一般性说明，缺少具体方案或不适用于本项目，每项计0.4分；未提供不计分。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满足招标文件要求且投标价格最低的为评标基准价，其价格分为满分。其他供应商的价格分统一按照下列公式计算：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详见附件：技术及商务方案.docx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