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版本号：FYZX-SXHZ-260220260428001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佛坪县城排水防涝建设项目（东岳殿水田沟排水防涝工程）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FYZX-SXHZ-2602</w:t>
      </w:r>
      <w:r>
        <w:br/>
      </w:r>
      <w:r>
        <w:br/>
      </w:r>
      <w:r>
        <w:br/>
      </w:r>
    </w:p>
    <w:p>
      <w:pPr>
        <w:pStyle w:val="null3"/>
        <w:jc w:val="center"/>
        <w:outlineLvl w:val="2"/>
      </w:pPr>
      <w:r>
        <w:rPr>
          <w:rFonts w:ascii="仿宋_GB2312" w:hAnsi="仿宋_GB2312" w:cs="仿宋_GB2312" w:eastAsia="仿宋_GB2312"/>
          <w:sz w:val="28"/>
          <w:b/>
        </w:rPr>
        <w:t>佛坪县住房和城乡建设管理局</w:t>
      </w:r>
    </w:p>
    <w:p>
      <w:pPr>
        <w:pStyle w:val="null3"/>
        <w:jc w:val="center"/>
        <w:outlineLvl w:val="2"/>
      </w:pPr>
      <w:r>
        <w:rPr>
          <w:rFonts w:ascii="仿宋_GB2312" w:hAnsi="仿宋_GB2312" w:cs="仿宋_GB2312" w:eastAsia="仿宋_GB2312"/>
          <w:sz w:val="28"/>
          <w:b/>
        </w:rPr>
        <w:t>方宇工程咨询有限公司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方宇工程咨询有限公司</w:t>
      </w:r>
      <w:r>
        <w:rPr>
          <w:rFonts w:ascii="仿宋_GB2312" w:hAnsi="仿宋_GB2312" w:cs="仿宋_GB2312" w:eastAsia="仿宋_GB2312"/>
        </w:rPr>
        <w:t>（以下简称“代理机构”）受</w:t>
      </w:r>
      <w:r>
        <w:rPr>
          <w:rFonts w:ascii="仿宋_GB2312" w:hAnsi="仿宋_GB2312" w:cs="仿宋_GB2312" w:eastAsia="仿宋_GB2312"/>
        </w:rPr>
        <w:t>佛坪县住房和城乡建设管理局</w:t>
      </w:r>
      <w:r>
        <w:rPr>
          <w:rFonts w:ascii="仿宋_GB2312" w:hAnsi="仿宋_GB2312" w:cs="仿宋_GB2312" w:eastAsia="仿宋_GB2312"/>
        </w:rPr>
        <w:t>委托，拟对</w:t>
      </w:r>
      <w:r>
        <w:rPr>
          <w:rFonts w:ascii="仿宋_GB2312" w:hAnsi="仿宋_GB2312" w:cs="仿宋_GB2312" w:eastAsia="仿宋_GB2312"/>
        </w:rPr>
        <w:t>佛坪县城排水防涝建设项目（东岳殿水田沟排水防涝工程）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FYZX-SXHZ-2602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佛坪县城排水防涝建设项目（东岳殿水田沟排水防涝工程）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新建4m×2m钢筋混凝土箱涵约30米，片石混凝土挡墙27米，混凝土路面恢复120平方米。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采购包1（东岳殿水田沟排水防涝工程）：属于专门面向中小企业采购。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1、具有独立承担民事责任的能力：供应商须为独立承担民事责任能力的法人或其他组织或自然人。其中企业法人应提供有效的统一社会信 用代码的营业执照，事业法人应提供事业单位法人证、组织机构代码证等证明文件，其他组织应提供相 应的合法证明文件，自然人提供身份证明文件。</w:t>
      </w:r>
    </w:p>
    <w:p>
      <w:pPr>
        <w:pStyle w:val="null3"/>
      </w:pPr>
      <w:r>
        <w:rPr>
          <w:rFonts w:ascii="仿宋_GB2312" w:hAnsi="仿宋_GB2312" w:cs="仿宋_GB2312" w:eastAsia="仿宋_GB2312"/>
        </w:rPr>
        <w:t>2、法定代表人授权委托书：投标供应商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p>
      <w:pPr>
        <w:pStyle w:val="null3"/>
      </w:pPr>
      <w:r>
        <w:rPr>
          <w:rFonts w:ascii="仿宋_GB2312" w:hAnsi="仿宋_GB2312" w:cs="仿宋_GB2312" w:eastAsia="仿宋_GB2312"/>
        </w:rPr>
        <w:t>3、供应商资质要求：投标供应商须提供建设行政主管部门颁发的市政公用工程施工总承包三级及以上资质，并提供有效的安全生产许可证。</w:t>
      </w:r>
    </w:p>
    <w:p>
      <w:pPr>
        <w:pStyle w:val="null3"/>
      </w:pPr>
      <w:r>
        <w:rPr>
          <w:rFonts w:ascii="仿宋_GB2312" w:hAnsi="仿宋_GB2312" w:cs="仿宋_GB2312" w:eastAsia="仿宋_GB2312"/>
        </w:rPr>
        <w:t>4、项目负责人资质和专业要求：拟派项目负责人须具备市政公用工程专业二级及以上注册建造师执业资格，并取得安全生产考核合格证书（建安B证），且无在建工程。</w:t>
      </w:r>
    </w:p>
    <w:p>
      <w:pPr>
        <w:pStyle w:val="null3"/>
      </w:pPr>
      <w:r>
        <w:rPr>
          <w:rFonts w:ascii="仿宋_GB2312" w:hAnsi="仿宋_GB2312" w:cs="仿宋_GB2312" w:eastAsia="仿宋_GB2312"/>
        </w:rPr>
        <w:t>5、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6、非联合体、不分包响应证明：本项目不接受联合体响应，不允许分包。供应商应提供《非联合体不分包投标声明》，视为独立响应，不分包。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佛坪县住房和城乡建设管理局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熊猫大道33号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佛坪县住房和城乡建设管理局经办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18992629636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方宇工程咨询有限公司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陕西省西安市新城区西安市新城区尚勤路151号8层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0916-2102446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肖慧</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采购包1：684,492.49元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开户名称：方宇工程咨询有限公司汉中汉南分公司</w:t>
            </w:r>
          </w:p>
          <w:p>
            <w:pPr>
              <w:pStyle w:val="null3"/>
            </w:pPr>
            <w:r>
              <w:rPr>
                <w:rFonts w:ascii="仿宋_GB2312" w:hAnsi="仿宋_GB2312" w:cs="仿宋_GB2312" w:eastAsia="仿宋_GB2312"/>
              </w:rPr>
              <w:t>开户银行：中国建设银行股份有限公司汉中西环路支行</w:t>
            </w:r>
          </w:p>
          <w:p>
            <w:pPr>
              <w:pStyle w:val="null3"/>
            </w:pPr>
            <w:r>
              <w:rPr>
                <w:rFonts w:ascii="仿宋_GB2312" w:hAnsi="仿宋_GB2312" w:cs="仿宋_GB2312" w:eastAsia="仿宋_GB2312"/>
              </w:rPr>
              <w:t>银行账号：：61050165500009091213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代理服务费收费标准：参考国家发展计划委员会计价格【2002】1980 号关于印发《招标代理服务收费管理暂行办法》及《国家发展和改革委员会办公厅关于招标代理服务收费有关问题的通知》（发改办价格〔2003〕857 号）文件规定，以成交价为基数，按照工程类招标计算收取代理服务费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佛坪县住房和城乡建设管理局</w:t>
      </w:r>
      <w:r>
        <w:rPr>
          <w:rFonts w:ascii="仿宋_GB2312" w:hAnsi="仿宋_GB2312" w:cs="仿宋_GB2312" w:eastAsia="仿宋_GB2312"/>
        </w:rPr>
        <w:t>和</w:t>
      </w:r>
      <w:r>
        <w:rPr>
          <w:rFonts w:ascii="仿宋_GB2312" w:hAnsi="仿宋_GB2312" w:cs="仿宋_GB2312" w:eastAsia="仿宋_GB2312"/>
        </w:rPr>
        <w:t>方宇工程咨询有限公司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佛坪县住房和城乡建设管理局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方宇工程咨询有限公司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佛坪县住房和城乡建设管理局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方宇工程咨询有限公司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详见施工合同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方宇工程咨询有限公司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方宇工程咨询有限公司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方宇工程咨询有限公司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联系人：何伟</w:t>
      </w:r>
    </w:p>
    <w:p>
      <w:pPr>
        <w:pStyle w:val="null3"/>
      </w:pPr>
      <w:r>
        <w:rPr>
          <w:rFonts w:ascii="仿宋_GB2312" w:hAnsi="仿宋_GB2312" w:cs="仿宋_GB2312" w:eastAsia="仿宋_GB2312"/>
        </w:rPr>
        <w:t>联系电话：0916-2102446</w:t>
      </w:r>
    </w:p>
    <w:p>
      <w:pPr>
        <w:pStyle w:val="null3"/>
      </w:pPr>
      <w:r>
        <w:rPr>
          <w:rFonts w:ascii="仿宋_GB2312" w:hAnsi="仿宋_GB2312" w:cs="仿宋_GB2312" w:eastAsia="仿宋_GB2312"/>
        </w:rPr>
        <w:t>地址：汉台区滨江西路中交滨江国际118号商铺</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684,492.49</w:t>
      </w:r>
    </w:p>
    <w:p>
      <w:pPr>
        <w:pStyle w:val="null3"/>
      </w:pPr>
      <w:r>
        <w:rPr>
          <w:rFonts w:ascii="仿宋_GB2312" w:hAnsi="仿宋_GB2312" w:cs="仿宋_GB2312" w:eastAsia="仿宋_GB2312"/>
        </w:rPr>
        <w:t>采购包最高限价（元）: 684,492.49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排水防涝建设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684,492.49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标的名称：排水防涝建设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color w:val="000000"/>
              </w:rPr>
              <w:t xml:space="preserve">新建4m×2m钢筋混凝土箱 </w:t>
            </w:r>
            <w:r>
              <w:rPr>
                <w:rFonts w:ascii="仿宋_GB2312" w:hAnsi="仿宋_GB2312" w:cs="仿宋_GB2312" w:eastAsia="仿宋_GB2312"/>
                <w:sz w:val="18"/>
                <w:color w:val="000000"/>
              </w:rPr>
              <w:t>涵约30米，片石混凝土挡墙27米，混</w:t>
            </w:r>
            <w:r>
              <w:rPr>
                <w:rFonts w:ascii="仿宋_GB2312" w:hAnsi="仿宋_GB2312" w:cs="仿宋_GB2312" w:eastAsia="仿宋_GB2312"/>
                <w:sz w:val="18"/>
                <w:color w:val="000000"/>
              </w:rPr>
              <w:t>凝土路面恢复120平方米。</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8"/>
                <w:color w:val="000000"/>
              </w:rPr>
              <w:t>招标范围：施工图设计范围内、工程量清单内的全部内容，工程量清单详见附件。</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工期要求：</w:t>
            </w:r>
            <w:r>
              <w:rPr>
                <w:rFonts w:ascii="仿宋_GB2312" w:hAnsi="仿宋_GB2312" w:cs="仿宋_GB2312" w:eastAsia="仿宋_GB2312"/>
                <w:sz w:val="18"/>
                <w:color w:val="000000"/>
              </w:rPr>
              <w:t>30</w:t>
            </w:r>
            <w:r>
              <w:rPr>
                <w:rFonts w:ascii="仿宋_GB2312" w:hAnsi="仿宋_GB2312" w:cs="仿宋_GB2312" w:eastAsia="仿宋_GB2312"/>
                <w:sz w:val="18"/>
                <w:color w:val="000000"/>
              </w:rPr>
              <w:t>日历天</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6"/>
                <w:color w:val="000000"/>
              </w:rPr>
              <w:t>报价要求： 本项目报价采用固定综合单价承包，以中标价（中标综合单价）作为合同价的结算依据进行结算，投标</w:t>
            </w:r>
            <w:r>
              <w:rPr>
                <w:rFonts w:ascii="仿宋_GB2312" w:hAnsi="仿宋_GB2312" w:cs="仿宋_GB2312" w:eastAsia="仿宋_GB2312"/>
                <w:sz w:val="16"/>
                <w:color w:val="000000"/>
              </w:rPr>
              <w:t>供应商自行考虑并承担风险。即现场施工费、现场安全措施费、保险费、服务费、售后服务、外购、外协、配套件</w:t>
            </w:r>
            <w:r>
              <w:rPr>
                <w:rFonts w:ascii="仿宋_GB2312" w:hAnsi="仿宋_GB2312" w:cs="仿宋_GB2312" w:eastAsia="仿宋_GB2312"/>
                <w:sz w:val="16"/>
                <w:color w:val="000000"/>
              </w:rPr>
              <w:t>、原材料及生产制造、包装、保险、税费、管理、检验、运杂费、装卸费、安装调试、培训、配合、检测验收、图</w:t>
            </w:r>
            <w:r>
              <w:rPr>
                <w:rFonts w:ascii="仿宋_GB2312" w:hAnsi="仿宋_GB2312" w:cs="仿宋_GB2312" w:eastAsia="仿宋_GB2312"/>
                <w:sz w:val="16"/>
                <w:color w:val="000000"/>
              </w:rPr>
              <w:t>纸资料及保修、施工中产生的一切协调性费用及其他所有费用的总和。工程量清单中存在漏项或某子目工程量计算</w:t>
            </w:r>
            <w:r>
              <w:rPr>
                <w:rFonts w:ascii="仿宋_GB2312" w:hAnsi="仿宋_GB2312" w:cs="仿宋_GB2312" w:eastAsia="仿宋_GB2312"/>
                <w:sz w:val="16"/>
                <w:color w:val="000000"/>
              </w:rPr>
              <w:t>偏差，竣工结算时按清单计算规则据实调整。投标综合单价一次包定。除国家工程计价政策允许调整外，其他因素</w:t>
            </w:r>
            <w:r>
              <w:rPr>
                <w:rFonts w:ascii="仿宋_GB2312" w:hAnsi="仿宋_GB2312" w:cs="仿宋_GB2312" w:eastAsia="仿宋_GB2312"/>
                <w:sz w:val="16"/>
                <w:color w:val="000000"/>
              </w:rPr>
              <w:t>发生变化不作调整。</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6"/>
                <w:color w:val="000000"/>
              </w:rPr>
              <w:t>质量要求：合格。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经双方协商，工程完工，通过建设单位、设计单位、监理单位、施工单位的四方验收及有关地方行政管理部门审验并取得相应验收合格凭证。</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承包人严格按照国家颁发的施工验收规范及工程设计图纸（工程量清单）要求进行施工。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满足采购需求及相关质量要求。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 具有依法缴纳税收和社会保障金的良好记录，参加本项目采购活动前三年内无重大违法活动记录 ，未列入在信用中国网站“失信被执行人”、“重大税收违法案件当事人名单”中，也未列入中国政府采购网“政府采购严重违法失信行为记录名单”中，须提供《汉中市政府采购供应商资格承诺函》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 用代码的营业执照，事业法人应提供事业单位法人证、组织机构代码证等证明文件，其他组织应提供相 应的合法证明文件，自然人提供身份证明文件。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投标供应商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投标供应商须提供建设行政主管部门颁发的市政公用工程施工总承包三级及以上资质，并提供有效的安全生产许可证。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项目负责人资质和专业要求</w:t>
            </w:r>
          </w:p>
        </w:tc>
        <w:tc>
          <w:tcPr>
            <w:tcW w:type="dxa" w:w="3322"/>
          </w:tcPr>
          <w:p>
            <w:pPr>
              <w:pStyle w:val="null3"/>
            </w:pPr>
            <w:r>
              <w:rPr>
                <w:rFonts w:ascii="仿宋_GB2312" w:hAnsi="仿宋_GB2312" w:cs="仿宋_GB2312" w:eastAsia="仿宋_GB2312"/>
              </w:rPr>
              <w:t>拟派项目负责人须具备市政公用工程专业二级及以上注册建造师执业资格，并取得安全生产考核合格证书（建安B证），且无在建工程。</w:t>
            </w:r>
          </w:p>
        </w:tc>
        <w:tc>
          <w:tcPr>
            <w:tcW w:type="dxa" w:w="1661"/>
          </w:tcPr>
          <w:p>
            <w:pPr>
              <w:pStyle w:val="null3"/>
            </w:pPr>
            <w:r>
              <w:rPr>
                <w:rFonts w:ascii="仿宋_GB2312" w:hAnsi="仿宋_GB2312" w:cs="仿宋_GB2312" w:eastAsia="仿宋_GB2312"/>
              </w:rPr>
              <w:t>项目管理机构组成表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非联合体、不分包响应证明</w:t>
            </w:r>
          </w:p>
        </w:tc>
        <w:tc>
          <w:tcPr>
            <w:tcW w:type="dxa" w:w="3322"/>
          </w:tcPr>
          <w:p>
            <w:pPr>
              <w:pStyle w:val="null3"/>
            </w:pPr>
            <w:r>
              <w:rPr>
                <w:rFonts w:ascii="仿宋_GB2312" w:hAnsi="仿宋_GB2312" w:cs="仿宋_GB2312" w:eastAsia="仿宋_GB2312"/>
              </w:rPr>
              <w:t>本项目不接受联合体响应，不允许分包。供应商应提供《非联合体不分包投标声明》，视为独立响应，不分包。</w:t>
            </w:r>
          </w:p>
        </w:tc>
        <w:tc>
          <w:tcPr>
            <w:tcW w:type="dxa" w:w="1661"/>
          </w:tcPr>
          <w:p>
            <w:pPr>
              <w:pStyle w:val="null3"/>
            </w:pPr>
            <w:r>
              <w:rPr>
                <w:rFonts w:ascii="仿宋_GB2312" w:hAnsi="仿宋_GB2312" w:cs="仿宋_GB2312" w:eastAsia="仿宋_GB2312"/>
              </w:rPr>
              <w:t>非联合体不分包投标声明.docx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技术标及方案.docx 已标价工程量清单 中小企业声明函 供应商应提交的相关资格证明材料 非联合体不分包投标声明.docx 汉中市政府采购供应商资格承诺函.docx 响应文件封面 项目管理机构组成表 残疾人福利性单位声明函 报价函 标的清单 供应商类似项目业绩一览表 响应函 法定代表人授权委托书.docx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响应文件封面、响应函、法定代表人授权委托书三处的项目名称、项目编号、标段（如有）</w:t>
            </w:r>
          </w:p>
        </w:tc>
        <w:tc>
          <w:tcPr>
            <w:tcW w:type="dxa" w:w="3322"/>
          </w:tcPr>
          <w:p>
            <w:pPr>
              <w:pStyle w:val="null3"/>
            </w:pPr>
            <w:r>
              <w:rPr>
                <w:rFonts w:ascii="仿宋_GB2312" w:hAnsi="仿宋_GB2312" w:cs="仿宋_GB2312" w:eastAsia="仿宋_GB2312"/>
              </w:rPr>
              <w:t>三处均无遗漏，且与所投项目名称、 项目编号、标段（如有）一致。</w:t>
            </w:r>
          </w:p>
        </w:tc>
        <w:tc>
          <w:tcPr>
            <w:tcW w:type="dxa" w:w="1661"/>
          </w:tcPr>
          <w:p>
            <w:pPr>
              <w:pStyle w:val="null3"/>
            </w:pPr>
            <w:r>
              <w:rPr>
                <w:rFonts w:ascii="仿宋_GB2312" w:hAnsi="仿宋_GB2312" w:cs="仿宋_GB2312" w:eastAsia="仿宋_GB2312"/>
              </w:rPr>
              <w:t>响应文件封面 响应函 法定代表人授权委托书.docx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响应人提供本项目施工方案，包括①施工方法（工艺）②施工组织和施工程序③现场平面布置④技术组织措施。 二、赋分标准： 1、完整性：方案内容完整全面，对上述各项内容均有描述，得2分；缺1项，得1.5分；缺2项，得1分；缺3项，得0.5分；不提供不得分。 2、针对性：针对性强，得3分；每有一处缺陷的扣0.5分。 3、可实施性：可实施性强，得3分；每有一处缺陷的扣0.5分。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一、评审内容：响应人提供本项目施工进度计划，包括①施工进度目标和施工总进度计划表/图②分部分项 工期一览表③重要工程的验收、检验的次序和时间。 二、赋分标准： 1、完整性：方案内容完整全面，对上述各项内容均有描述，得1分；缺1项，得0.7分；缺2 项，得0.4分；不提供不得分。 2、针对性：针对性强，得1.5分；每有一处缺陷的扣0.5分。 3、可实施性：可实施性强，得1.5分；每有一处缺陷的扣0.5分。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一、评审内容：响应人提供本项目工期保证措施，包括①施工组织与管理保证措施②施工技术措施。 二、赋分标准： 1、完整性：方案内容完整全面，对上述各项内容均有描述，得1分；缺1项，得0.5分；不提供不得分。 2、针对性：针对性强，得1分；每有一处缺陷的扣0.5分。 3、可实施性：可实施性强，得1分；每有一处缺陷的扣0.5分。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一、评审内容：响应人提供本项目质量保证措施，包括①工程质量目标②施工质量保证措施③施工质量管理与控制方案。 二、赋分标准： 1、完整性：方案内容完整全面，对上述各项内容均有描述，得1分；缺1项，得0.7分；缺2 项，得0.4分；不提供不得分。 2、针对性：针对性强，得2分；每有一处缺陷的扣0.5分。 3、可实施性：可实施性强，得2分；每有一处缺陷的扣0.5分。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安全技术措施</w:t>
            </w:r>
          </w:p>
        </w:tc>
        <w:tc>
          <w:tcPr>
            <w:tcW w:type="dxa" w:w="2492"/>
          </w:tcPr>
          <w:p>
            <w:pPr>
              <w:pStyle w:val="null3"/>
            </w:pPr>
            <w:r>
              <w:rPr>
                <w:rFonts w:ascii="仿宋_GB2312" w:hAnsi="仿宋_GB2312" w:cs="仿宋_GB2312" w:eastAsia="仿宋_GB2312"/>
              </w:rPr>
              <w:t>一、评审内容：响应人提供本项目安全技术措施，包括①安全管理制度②安全责任归属划分③安全标识：安全警戒标语、施工人员安全警示服和安全帽穿配要求④安全教育培训。二、赋分标准： 1、完整性：方案内容完整全面，对上述各项内容均有描述，得 2 分；缺1 项，得 1.5 分；缺 2 项，得 1 分；缺 3 项，得 0.5 分；不提供不得分。 2、针对性：针对性强，得 2 分；每有一处缺陷的扣0.5分。 3、可实施性：可实施性强，得 2 分；每有一处缺陷的扣0.5分。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一、评审内容：响应人提供本项目文明施工措施，包括①成品保护措施和制度②施工现场的临时管理措施③文明施工保障措施④文物保护措施。 二、赋分标准： 1、完整性：方案内容完整全面，对上述各项内容均有描述，得 2 分；缺 1 项，得 1.5 分；缺 2 项，得 1分；缺 3 项，得 0.5 分；不提供不得分。 2、针对性：针对性强，得 2 分；每有一处缺陷的扣0.5分。 3、可实施性：可实施性强，得 2 分；每有一处缺陷的扣0.5分。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一、评审内容：响应人提供本项目环境保护措施，包括①环境保护管理体系②环保控制措施：污染物及废弃物的处理措施、噪音控制措施、防尘及扬尘的控制措施。 二、赋分标准： 1、完整性：方案内容完整全面，对上述各项内容均有描述，得 1 分；缺 1 项，得0.5 分；不提供不得分。 2、针对性：针对性强，得 1 分；每有一处缺陷的扣0.5分。 3、可实施性：可实施性强，得 1 分；每有一处缺陷的扣0.5分。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项目部人员组织</w:t>
            </w:r>
          </w:p>
        </w:tc>
        <w:tc>
          <w:tcPr>
            <w:tcW w:type="dxa" w:w="2492"/>
          </w:tcPr>
          <w:p>
            <w:pPr>
              <w:pStyle w:val="null3"/>
            </w:pPr>
            <w:r>
              <w:rPr>
                <w:rFonts w:ascii="仿宋_GB2312" w:hAnsi="仿宋_GB2312" w:cs="仿宋_GB2312" w:eastAsia="仿宋_GB2312"/>
              </w:rPr>
              <w:t>针对本项目提供实施具体人员配置清单（技术负责人、施工员、质检员、安全员、材料员、预算员），包含：具体成员身份证、职称（职业资格证书）、岗位证书、社保缴纳证明。提供以上清单中所有内容得 6分，每人1分，提供不齐或不提供不得分。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技术标及方案.docx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一、评审内容：响应人提供本项目新材料新工艺，包括①新技术和新工艺的应用情况②新产品和新材料的应用情况。 二、赋分标准： 1、完整性：方案内容完整全面，对上述各项内容均有描述，得 1 分；缺 1 项，得 0.5 分；不提供不得分。 2、针对性：针对性强，得 1 分；每有一处缺陷的扣0.5分。 3、可实施性：可实施性强，得 1 分；每有一处缺陷的扣0.5分。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一、评审内容：响应人提供本项目的资源配置计划，包括①拟投入的主要施工机械设备计划②主要材料进场计划③劳动力投入计划。 二、赋分标准： 1、完整性：方案内容完整全面，对上述各项内容均有描述，得 1 分；缺 1 项，得 0.7 分；缺 2 项，得 0.4 分；不提供不得分。 2、针对性：针对性强，得 2 分；每有一处缺陷的扣0.5分。 3、可实施性：可实施性强，得 2 分；每有一处缺陷的扣0.5分。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施工重点难点</w:t>
            </w:r>
          </w:p>
        </w:tc>
        <w:tc>
          <w:tcPr>
            <w:tcW w:type="dxa" w:w="2492"/>
          </w:tcPr>
          <w:p>
            <w:pPr>
              <w:pStyle w:val="null3"/>
            </w:pPr>
            <w:r>
              <w:rPr>
                <w:rFonts w:ascii="仿宋_GB2312" w:hAnsi="仿宋_GB2312" w:cs="仿宋_GB2312" w:eastAsia="仿宋_GB2312"/>
              </w:rPr>
              <w:t>一、评审内容：响应人提供本项目的施工重难点，包括①施工重难点分析②重难点解决方案。 二、赋分标准： 1、完整性：方案内容完整全面，对上述各项内容均有描述，得2分；缺 1 项，得1分；不提供不得分。 2、针对性：针对性强，得 2 分；每有一处缺陷的扣0.5分。 3、可实施性：可实施性强，得 2 分；每有一处缺陷的扣0.5分。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提供2022年1月1日以来类似项目业绩，每提供一个得4.5分，最高9分，没有不得分。 注：业绩以成交（中标）通知书或施工合同（以合同签订日期为准）扫描件为准。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一、评审内容：响应人提供本项目的保修方案，包括①工程保修期②维护次数和维修费用③维修人员配备和服务措施④响应时间。 二、赋分标准： 1、完整性：方案内容完整全面，对上述各项内容均有描述，得 2 分；缺 1 项，得 1.5 分；缺 2 项，得 1 分；缺 3 项，得 0.5 分；不提供不得分。 2、针对性：针对性强，得 2 分；每有一处缺陷的扣0.5分。 3、可实施性：可实施性强，得 2 分；每有一处缺陷的扣0.5分。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有效供应商最低报价为基准价得30分，其他各供应商的报价得分按下列公式计算： 报价得分=（基准价/磋商报价）×30。根据“最后报价”计算价格得分。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详见附件：技术标及方案.docx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详见附件：（GF-2017-0201）建设工程施工合同（示范文本）.docx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