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版本号：SXWZ2026ZB-XAZX-04020260429002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病案数字化服务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SXWZ2026ZB-XAZX-040</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病案数字化服务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SXWZ2026ZB-XAZX-040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病案数字化服务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西安市中心医院病案数字化服务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采购包1（病案数字化服务）：属于专门面向中小企业采购。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法定代表人直接参加的，只须提供《法定代表人身份证明》；非法定代表人参加的，须提供《法定代表人授权书》，并提供被授权人响应文件提交截至时间前近三个月在本公司的社会保障资金缴纳证明。</w:t>
      </w:r>
    </w:p>
    <w:p>
      <w:pPr>
        <w:pStyle w:val="null3"/>
      </w:pPr>
      <w:r>
        <w:rPr>
          <w:rFonts w:ascii="仿宋_GB2312" w:hAnsi="仿宋_GB2312" w:cs="仿宋_GB2312" w:eastAsia="仿宋_GB2312"/>
        </w:rPr>
        <w:t>3、社会保障资金缴纳证明：提供响应文件提交截至时间前近一年内任意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4、税收缴纳证明：提供响应文件提交截至时间前近一年内任意一个月的纳税证明或完税证明；依法免税的单位应提供相关证明材料。（以税收所属时期为准）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审计的2024年度或2025年度的财务审计报告复印件（财务报告是指经会计师事务所审计的上述指定年度整个会计年度财务报表,复印件至少须包括报告正文、资产负债表、利润表、现金流量表、附注和会计师事务所营业执照，报告正文应当有会计师事务所公章和2名注册会计师的签字及盖章。且审计报告应当经过注册会计师行业统一监管平台备案赋码），或在响应文件提交截至时间前六个月内其基本开户银行出具的资信证明和基本户证明材料(若供应商成立时间不足六个月，需提供成立至今的财务状况证明材料，或成立至响应文件提交截至时间前的基本开户银行出具的资信证明和基本户证明材料)。（以上两种形式的资料提供任何一种即可）。</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7、非联合体声明：本项目不接受联合体投标，供应商应提供非联合体声明函。（格式自拟）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西安市后宰门185号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代理服务费收费标准：定额收取代理服务费4000元，成交供应商向采购代理机构一次付清代理服务费。 中标单位按以下账户缴纳服务费（对公转账）： 户名:陕西万泽招标有限公司 账号:2110 1158 0000 0154 89 开户行:西安银行朝阳门支行 转账备注：中心医院-040-服务费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验收方法：中标方协助采购人随机抽查一定数量的病案图像和纸质病案，比例为数字化病案图像总数的3%，前、中、后随机抽查，并与纸质病案对照核对数量及质量。 验收标准： ① 数字化病案图像是否与纸质病案完全一致。 ② 数字化病案图像格式和清晰度是否符合要求； ③ 数字化病案的文件夹命名是否合乎标准，是否已分段； ④ 差错率：依据“纸质档案数字化技术标准（中华人民共和国档案行业标准 DA/T31-2005）”11.2.2之规定，数字化转换质量抽检的合格率应≧95%。 ⑤ 首页信息的主要数据项（姓名、病案号、出院日期、主要诊断、手术）的差错率不得超过3‰。</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联系电话：029-88319689-8003/8005</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医院现有病案记录为纸质材料，查询利用很不方便，而且占据了大量的存放空间，还存在病案损坏泄露的安全风险。目前医院已经建设了电子病历，为临床医疗提供了良好的支持，体现了信息化建设的成果。为了更方便医生调阅原来的纸制历史病历，因此有必要将医院纸制病历数字化，病案数字化管理系统的建设不但可以实现病案的数字化，更为重要的是为临床医生的信息共享利用提供方便，而且通过制作各种统计报表，为医院领导、各临床科室提供决策分析，体现现代化医院的规模和水准，推进数字化医院建设，还能提高病案管理的科学性和工作效率，使得珍贵的病案资源得以充分地为社会服务。 在对现有纸质病历的数字化过程中，为了切实保证病人的隐私保护，必须对其进行规范化管理，尤其是干部保健病人的资料根据国家规定属于严格保密范围，因此在诸如病案数字化加工、出入库管理、检索利用等环节都应该符合要求，同时对相关人员做好严格的保密制度，签订保密协议，避免在加工过程中产生任何泄密问题，这将是本项目成功的一个重要因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病案数字化服务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标的名称：病案数字化服务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w:t>
            </w:r>
            <w:r>
              <w:rPr>
                <w:rFonts w:ascii="仿宋_GB2312" w:hAnsi="仿宋_GB2312" w:cs="仿宋_GB2312" w:eastAsia="仿宋_GB2312"/>
                <w:sz w:val="21"/>
                <w:b/>
              </w:rPr>
              <w:t>、服务内容</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按时完成</w:t>
            </w:r>
            <w:r>
              <w:rPr>
                <w:rFonts w:ascii="仿宋_GB2312" w:hAnsi="仿宋_GB2312" w:cs="仿宋_GB2312" w:eastAsia="仿宋_GB2312"/>
                <w:sz w:val="21"/>
              </w:rPr>
              <w:t>医院要求</w:t>
            </w:r>
            <w:r>
              <w:rPr>
                <w:rFonts w:ascii="仿宋_GB2312" w:hAnsi="仿宋_GB2312" w:cs="仿宋_GB2312" w:eastAsia="仿宋_GB2312"/>
                <w:sz w:val="21"/>
              </w:rPr>
              <w:t>的纸质病案数字化。</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对原始纸质病案应用数码技术分页数字化加工制作，形成数码图像，并负责对后续产生的原始纸质病案定期处理。</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图像高清，数字化病案的图像尺寸为</w:t>
            </w:r>
            <w:r>
              <w:rPr>
                <w:rFonts w:ascii="仿宋_GB2312" w:hAnsi="仿宋_GB2312" w:cs="仿宋_GB2312" w:eastAsia="仿宋_GB2312"/>
                <w:sz w:val="21"/>
              </w:rPr>
              <w:t>2048×1536（310万像素）及以上，同时提供彩色图像和黑白图像。</w:t>
            </w:r>
          </w:p>
          <w:p>
            <w:pPr>
              <w:pStyle w:val="null3"/>
              <w:ind w:firstLine="420"/>
            </w:pPr>
            <w:r>
              <w:rPr>
                <w:rFonts w:ascii="仿宋_GB2312" w:hAnsi="仿宋_GB2312" w:cs="仿宋_GB2312" w:eastAsia="仿宋_GB2312"/>
                <w:sz w:val="21"/>
              </w:rPr>
              <w:t>4.</w:t>
            </w:r>
            <w:r>
              <w:rPr>
                <w:rFonts w:ascii="仿宋_GB2312" w:hAnsi="仿宋_GB2312" w:cs="仿宋_GB2312" w:eastAsia="仿宋_GB2312"/>
                <w:sz w:val="21"/>
              </w:rPr>
              <w:t>原始纸质病案使用条形码技术装箱保存，定位管理，便于对原始纸质病案的快速查找，并运送指定存放点。</w:t>
            </w:r>
          </w:p>
          <w:p>
            <w:pPr>
              <w:pStyle w:val="null3"/>
              <w:ind w:firstLine="420"/>
            </w:pPr>
            <w:r>
              <w:rPr>
                <w:rFonts w:ascii="仿宋_GB2312" w:hAnsi="仿宋_GB2312" w:cs="仿宋_GB2312" w:eastAsia="仿宋_GB2312"/>
                <w:sz w:val="21"/>
              </w:rPr>
              <w:t>5.</w:t>
            </w:r>
            <w:r>
              <w:rPr>
                <w:rFonts w:ascii="仿宋_GB2312" w:hAnsi="仿宋_GB2312" w:cs="仿宋_GB2312" w:eastAsia="仿宋_GB2312"/>
                <w:sz w:val="21"/>
              </w:rPr>
              <w:t>能够利用数字化服务完成院方所需处理纸质病案数字化工作，</w:t>
            </w:r>
            <w:r>
              <w:rPr>
                <w:rFonts w:ascii="仿宋_GB2312" w:hAnsi="仿宋_GB2312" w:cs="仿宋_GB2312" w:eastAsia="仿宋_GB2312"/>
                <w:sz w:val="21"/>
              </w:rPr>
              <w:t>施工期限</w:t>
            </w:r>
            <w:r>
              <w:rPr>
                <w:rFonts w:ascii="仿宋_GB2312" w:hAnsi="仿宋_GB2312" w:cs="仿宋_GB2312" w:eastAsia="仿宋_GB2312"/>
                <w:sz w:val="21"/>
              </w:rPr>
              <w:t>:1年,</w:t>
            </w:r>
            <w:r>
              <w:rPr>
                <w:rFonts w:ascii="仿宋_GB2312" w:hAnsi="仿宋_GB2312" w:cs="仿宋_GB2312" w:eastAsia="仿宋_GB2312"/>
                <w:sz w:val="21"/>
              </w:rPr>
              <w:t>具体施工时间根据场地安排来定。每</w:t>
            </w:r>
            <w:r>
              <w:rPr>
                <w:rFonts w:ascii="仿宋_GB2312" w:hAnsi="仿宋_GB2312" w:cs="仿宋_GB2312" w:eastAsia="仿宋_GB2312"/>
                <w:sz w:val="21"/>
              </w:rPr>
              <w:t>一季度</w:t>
            </w:r>
            <w:r>
              <w:rPr>
                <w:rFonts w:ascii="仿宋_GB2312" w:hAnsi="仿宋_GB2312" w:cs="仿宋_GB2312" w:eastAsia="仿宋_GB2312"/>
                <w:sz w:val="21"/>
              </w:rPr>
              <w:t>验收一次。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二</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b/>
              </w:rPr>
              <w:t>软件模块要求</w:t>
            </w:r>
            <w:r>
              <w:rPr>
                <w:rFonts w:ascii="仿宋_GB2312" w:hAnsi="仿宋_GB2312" w:cs="仿宋_GB2312" w:eastAsia="仿宋_GB2312"/>
                <w:sz w:val="21"/>
                <w:b/>
              </w:rPr>
              <w:t>：</w:t>
            </w:r>
          </w:p>
          <w:p>
            <w:pPr>
              <w:pStyle w:val="null3"/>
              <w:ind w:firstLine="422"/>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数字化病案应用系统</w:t>
            </w:r>
          </w:p>
          <w:p>
            <w:pPr>
              <w:pStyle w:val="null3"/>
              <w:ind w:firstLine="422"/>
            </w:pPr>
            <w:r>
              <w:rPr>
                <w:rFonts w:ascii="仿宋_GB2312" w:hAnsi="仿宋_GB2312" w:cs="仿宋_GB2312" w:eastAsia="仿宋_GB2312"/>
                <w:sz w:val="21"/>
                <w:b/>
              </w:rPr>
              <w:t>a)</w:t>
            </w:r>
            <w:r>
              <w:rPr>
                <w:rFonts w:ascii="仿宋_GB2312" w:hAnsi="仿宋_GB2312" w:cs="仿宋_GB2312" w:eastAsia="仿宋_GB2312"/>
                <w:sz w:val="21"/>
                <w:b/>
              </w:rPr>
              <w:t>权限管理模块</w:t>
            </w:r>
          </w:p>
          <w:p>
            <w:pPr>
              <w:pStyle w:val="null3"/>
              <w:ind w:firstLine="420"/>
            </w:pPr>
            <w:r>
              <w:rPr>
                <w:rFonts w:ascii="仿宋_GB2312" w:hAnsi="仿宋_GB2312" w:cs="仿宋_GB2312" w:eastAsia="仿宋_GB2312"/>
                <w:sz w:val="21"/>
              </w:rPr>
              <w:t>用户管理：管理内部及外部用户的信息，可以对系统登录用户的信息进行查询</w:t>
            </w:r>
            <w:r>
              <w:rPr>
                <w:rFonts w:ascii="仿宋_GB2312" w:hAnsi="仿宋_GB2312" w:cs="仿宋_GB2312" w:eastAsia="仿宋_GB2312"/>
                <w:sz w:val="21"/>
              </w:rPr>
              <w:t>/添加/修改/删除。</w:t>
            </w:r>
          </w:p>
          <w:p>
            <w:pPr>
              <w:pStyle w:val="null3"/>
              <w:ind w:firstLine="420"/>
            </w:pPr>
            <w:r>
              <w:rPr>
                <w:rFonts w:ascii="仿宋_GB2312" w:hAnsi="仿宋_GB2312" w:cs="仿宋_GB2312" w:eastAsia="仿宋_GB2312"/>
                <w:sz w:val="21"/>
              </w:rPr>
              <w:t>用户组管理：查询</w:t>
            </w:r>
            <w:r>
              <w:rPr>
                <w:rFonts w:ascii="仿宋_GB2312" w:hAnsi="仿宋_GB2312" w:cs="仿宋_GB2312" w:eastAsia="仿宋_GB2312"/>
                <w:sz w:val="21"/>
              </w:rPr>
              <w:t>/添加/修改/删除用户组，并可设置人员所属的用户组。</w:t>
            </w:r>
          </w:p>
          <w:p>
            <w:pPr>
              <w:pStyle w:val="null3"/>
              <w:ind w:firstLine="420"/>
            </w:pPr>
            <w:r>
              <w:rPr>
                <w:rFonts w:ascii="仿宋_GB2312" w:hAnsi="仿宋_GB2312" w:cs="仿宋_GB2312" w:eastAsia="仿宋_GB2312"/>
                <w:sz w:val="21"/>
              </w:rPr>
              <w:t>用户组权限：设置用户组所拥有的系统功能的权限。</w:t>
            </w:r>
          </w:p>
          <w:p>
            <w:pPr>
              <w:pStyle w:val="null3"/>
              <w:ind w:firstLine="420"/>
            </w:pPr>
            <w:r>
              <w:rPr>
                <w:rFonts w:ascii="仿宋_GB2312" w:hAnsi="仿宋_GB2312" w:cs="仿宋_GB2312" w:eastAsia="仿宋_GB2312"/>
                <w:sz w:val="21"/>
              </w:rPr>
              <w:t>科室管理：查询</w:t>
            </w:r>
            <w:r>
              <w:rPr>
                <w:rFonts w:ascii="仿宋_GB2312" w:hAnsi="仿宋_GB2312" w:cs="仿宋_GB2312" w:eastAsia="仿宋_GB2312"/>
                <w:sz w:val="21"/>
              </w:rPr>
              <w:t>/添加/修改/删除科室信息，并可维护科室下包含的人员。</w:t>
            </w:r>
          </w:p>
          <w:p>
            <w:pPr>
              <w:pStyle w:val="null3"/>
              <w:ind w:firstLine="420"/>
            </w:pPr>
            <w:r>
              <w:rPr>
                <w:rFonts w:ascii="仿宋_GB2312" w:hAnsi="仿宋_GB2312" w:cs="仿宋_GB2312" w:eastAsia="仿宋_GB2312"/>
                <w:sz w:val="21"/>
              </w:rPr>
              <w:t>病案权限配置：配置病案浏览的权限（按用户及按用户组），可以按照用户的方式一个个地进行病案权限的配置，也可以按照用户组的方式进行整体分配（如直接将某个科室的病案分配给用户组），同时也可以设置病案图片医学分类的权限，可以分别设置病案的阅读，打印及导出的权限。</w:t>
            </w:r>
          </w:p>
          <w:p>
            <w:pPr>
              <w:pStyle w:val="null3"/>
              <w:ind w:firstLine="420"/>
            </w:pPr>
            <w:r>
              <w:rPr>
                <w:rFonts w:ascii="仿宋_GB2312" w:hAnsi="仿宋_GB2312" w:cs="仿宋_GB2312" w:eastAsia="仿宋_GB2312"/>
                <w:sz w:val="21"/>
              </w:rPr>
              <w:t>医学分类模板：设置病案图片的医学分类权限模板，在为病案分配权限时可以直接引用该模板，无需重复设置。</w:t>
            </w:r>
          </w:p>
          <w:p>
            <w:pPr>
              <w:pStyle w:val="null3"/>
              <w:ind w:firstLine="420"/>
            </w:pPr>
            <w:r>
              <w:rPr>
                <w:rFonts w:ascii="仿宋_GB2312" w:hAnsi="仿宋_GB2312" w:cs="仿宋_GB2312" w:eastAsia="仿宋_GB2312"/>
                <w:sz w:val="21"/>
              </w:rPr>
              <w:t>访问权限控制：可以设置禁止访问的机器的</w:t>
            </w:r>
            <w:r>
              <w:rPr>
                <w:rFonts w:ascii="仿宋_GB2312" w:hAnsi="仿宋_GB2312" w:cs="仿宋_GB2312" w:eastAsia="仿宋_GB2312"/>
                <w:sz w:val="21"/>
              </w:rPr>
              <w:t>IP，被禁止访问的IP对应的机器就无法使用本系统。</w:t>
            </w:r>
          </w:p>
          <w:p>
            <w:pPr>
              <w:pStyle w:val="null3"/>
              <w:ind w:firstLine="420"/>
            </w:pPr>
            <w:r>
              <w:rPr>
                <w:rFonts w:ascii="仿宋_GB2312" w:hAnsi="仿宋_GB2312" w:cs="仿宋_GB2312" w:eastAsia="仿宋_GB2312"/>
                <w:sz w:val="21"/>
              </w:rPr>
              <w:t>显示字段控制：可以设置在浏览器中浏览病案时列表中所显示的字段。可以在用户级别和用户组级别上进行显示权限的控制。</w:t>
            </w:r>
          </w:p>
          <w:p>
            <w:pPr>
              <w:pStyle w:val="null3"/>
              <w:ind w:firstLine="420"/>
            </w:pPr>
            <w:r>
              <w:rPr>
                <w:rFonts w:ascii="仿宋_GB2312" w:hAnsi="仿宋_GB2312" w:cs="仿宋_GB2312" w:eastAsia="仿宋_GB2312"/>
                <w:sz w:val="21"/>
              </w:rPr>
              <w:t>水印设置：可以制作在打印时叠加上去的水印，并且在打印病案的时候可以将其叠加到病案图片上。</w:t>
            </w:r>
          </w:p>
          <w:p>
            <w:pPr>
              <w:pStyle w:val="null3"/>
              <w:ind w:firstLine="420"/>
            </w:pPr>
            <w:r>
              <w:rPr>
                <w:rFonts w:ascii="仿宋_GB2312" w:hAnsi="仿宋_GB2312" w:cs="仿宋_GB2312" w:eastAsia="仿宋_GB2312"/>
                <w:sz w:val="21"/>
              </w:rPr>
              <w:t>病案锁定：可以将一些特殊的病案进行锁定，被锁定的病案将无法在浏览器中被查询到。</w:t>
            </w:r>
          </w:p>
          <w:p>
            <w:pPr>
              <w:pStyle w:val="null3"/>
              <w:ind w:firstLine="420"/>
            </w:pPr>
            <w:r>
              <w:rPr>
                <w:rFonts w:ascii="仿宋_GB2312" w:hAnsi="仿宋_GB2312" w:cs="仿宋_GB2312" w:eastAsia="仿宋_GB2312"/>
                <w:sz w:val="21"/>
              </w:rPr>
              <w:t>病案申请审批：对浏览器中提交过来的病案阅读申请进行审批，可以为申请的病案设定阅读的时限等。</w:t>
            </w:r>
          </w:p>
          <w:p>
            <w:pPr>
              <w:pStyle w:val="null3"/>
              <w:ind w:firstLine="420"/>
            </w:pPr>
            <w:r>
              <w:rPr>
                <w:rFonts w:ascii="仿宋_GB2312" w:hAnsi="仿宋_GB2312" w:cs="仿宋_GB2312" w:eastAsia="仿宋_GB2312"/>
                <w:sz w:val="21"/>
              </w:rPr>
              <w:t>控中心：查看各个系统的用户的使用的情况，包括：用户是否在前，用户有申请需要审批，用户的浏览病案的历史情况，用户权限等。</w:t>
            </w:r>
          </w:p>
          <w:p>
            <w:pPr>
              <w:pStyle w:val="null3"/>
              <w:ind w:firstLine="420"/>
            </w:pPr>
            <w:r>
              <w:rPr>
                <w:rFonts w:ascii="仿宋_GB2312" w:hAnsi="仿宋_GB2312" w:cs="仿宋_GB2312" w:eastAsia="仿宋_GB2312"/>
                <w:sz w:val="21"/>
              </w:rPr>
              <w:t>病案错误报告：处理病案浏览器上用户反馈上来的病案错误（如：图片缺页</w:t>
            </w:r>
            <w:r>
              <w:rPr>
                <w:rFonts w:ascii="仿宋_GB2312" w:hAnsi="仿宋_GB2312" w:cs="仿宋_GB2312" w:eastAsia="仿宋_GB2312"/>
                <w:sz w:val="21"/>
              </w:rPr>
              <w:t>/分类错误等）。</w:t>
            </w:r>
          </w:p>
          <w:p>
            <w:pPr>
              <w:pStyle w:val="null3"/>
              <w:ind w:firstLine="420"/>
            </w:pPr>
            <w:r>
              <w:rPr>
                <w:rFonts w:ascii="仿宋_GB2312" w:hAnsi="仿宋_GB2312" w:cs="仿宋_GB2312" w:eastAsia="仿宋_GB2312"/>
                <w:sz w:val="21"/>
              </w:rPr>
              <w:t>病案定位：查询病案在库房中的位置，可按病人姓名，病案号，出院日期，条码号，打包号，库房号或库位名查询，并生成统计报表。</w:t>
            </w:r>
          </w:p>
          <w:p>
            <w:pPr>
              <w:pStyle w:val="null3"/>
              <w:ind w:firstLine="420"/>
            </w:pPr>
            <w:r>
              <w:rPr>
                <w:rFonts w:ascii="仿宋_GB2312" w:hAnsi="仿宋_GB2312" w:cs="仿宋_GB2312" w:eastAsia="仿宋_GB2312"/>
                <w:sz w:val="21"/>
              </w:rPr>
              <w:t>病案导出：可以将选择好病案进行打包压缩导出，配合相应的浏览工具可在离线的环境下浏览。</w:t>
            </w:r>
          </w:p>
          <w:p>
            <w:pPr>
              <w:pStyle w:val="null3"/>
              <w:ind w:firstLine="420"/>
            </w:pPr>
            <w:r>
              <w:rPr>
                <w:rFonts w:ascii="仿宋_GB2312" w:hAnsi="仿宋_GB2312" w:cs="仿宋_GB2312" w:eastAsia="仿宋_GB2312"/>
                <w:sz w:val="21"/>
              </w:rPr>
              <w:t>病案浏览统计：可查询用户、科室在某一时间段内数字化病案使用情况，并生成统计报表。</w:t>
            </w:r>
          </w:p>
          <w:p>
            <w:pPr>
              <w:pStyle w:val="null3"/>
              <w:ind w:firstLine="422"/>
            </w:pPr>
            <w:r>
              <w:rPr>
                <w:rFonts w:ascii="仿宋_GB2312" w:hAnsi="仿宋_GB2312" w:cs="仿宋_GB2312" w:eastAsia="仿宋_GB2312"/>
                <w:sz w:val="21"/>
                <w:b/>
              </w:rPr>
              <w:t>b)</w:t>
            </w:r>
            <w:r>
              <w:rPr>
                <w:rFonts w:ascii="仿宋_GB2312" w:hAnsi="仿宋_GB2312" w:cs="仿宋_GB2312" w:eastAsia="仿宋_GB2312"/>
                <w:sz w:val="21"/>
                <w:b/>
              </w:rPr>
              <w:t>检索模块</w:t>
            </w:r>
          </w:p>
          <w:p>
            <w:pPr>
              <w:pStyle w:val="null3"/>
              <w:ind w:firstLine="420"/>
            </w:pPr>
            <w:r>
              <w:rPr>
                <w:rFonts w:ascii="仿宋_GB2312" w:hAnsi="仿宋_GB2312" w:cs="仿宋_GB2312" w:eastAsia="仿宋_GB2312"/>
                <w:sz w:val="21"/>
              </w:rPr>
              <w:t>关键词搜索：一个简洁的搜索方式，类似</w:t>
            </w:r>
            <w:r>
              <w:rPr>
                <w:rFonts w:ascii="仿宋_GB2312" w:hAnsi="仿宋_GB2312" w:cs="仿宋_GB2312" w:eastAsia="仿宋_GB2312"/>
                <w:sz w:val="21"/>
              </w:rPr>
              <w:t>google的搜索方式。可以选择搜索分类（病案号/疾病/手术/科室/病人姓名/医生），多关键词搜索（可以填写多个搜索关键词及指定关键词之间的关系），精确与模糊的搜索方式。</w:t>
            </w:r>
          </w:p>
          <w:p>
            <w:pPr>
              <w:pStyle w:val="null3"/>
              <w:ind w:firstLine="420"/>
            </w:pPr>
            <w:r>
              <w:rPr>
                <w:rFonts w:ascii="仿宋_GB2312" w:hAnsi="仿宋_GB2312" w:cs="仿宋_GB2312" w:eastAsia="仿宋_GB2312"/>
                <w:sz w:val="21"/>
              </w:rPr>
              <w:t>高级搜索：可以按照列出的各种查询条件对病案进行查询，这种检索方式常用于检索条件比较多的情况下。</w:t>
            </w:r>
          </w:p>
          <w:p>
            <w:pPr>
              <w:pStyle w:val="null3"/>
              <w:ind w:firstLine="420"/>
            </w:pPr>
            <w:r>
              <w:rPr>
                <w:rFonts w:ascii="仿宋_GB2312" w:hAnsi="仿宋_GB2312" w:cs="仿宋_GB2312" w:eastAsia="仿宋_GB2312"/>
                <w:sz w:val="21"/>
              </w:rPr>
              <w:t>自定义搜索：可以自定义组织查询条件的组合进行搜索。这种检索方式常用于需检索的条件比较复杂的情况下。</w:t>
            </w:r>
          </w:p>
          <w:p>
            <w:pPr>
              <w:pStyle w:val="null3"/>
              <w:ind w:firstLine="422"/>
            </w:pPr>
            <w:r>
              <w:rPr>
                <w:rFonts w:ascii="仿宋_GB2312" w:hAnsi="仿宋_GB2312" w:cs="仿宋_GB2312" w:eastAsia="仿宋_GB2312"/>
                <w:sz w:val="21"/>
                <w:b/>
              </w:rPr>
              <w:t>经典搜索：</w:t>
            </w:r>
            <w:r>
              <w:rPr>
                <w:rFonts w:ascii="仿宋_GB2312" w:hAnsi="仿宋_GB2312" w:cs="仿宋_GB2312" w:eastAsia="仿宋_GB2312"/>
                <w:sz w:val="21"/>
              </w:rPr>
              <w:t>传统的检索方式，左边是检索条件右边是检索结果。在检索时还可设定病案图片的医学分类，以便在查看病案图片时过滤掉无需查看的图片。</w:t>
            </w:r>
          </w:p>
          <w:p>
            <w:pPr>
              <w:pStyle w:val="null3"/>
              <w:ind w:firstLine="420"/>
            </w:pPr>
            <w:r>
              <w:rPr>
                <w:rFonts w:ascii="仿宋_GB2312" w:hAnsi="仿宋_GB2312" w:cs="仿宋_GB2312" w:eastAsia="仿宋_GB2312"/>
                <w:sz w:val="21"/>
              </w:rPr>
              <w:t>病案搜索结果：拥有两种显示结果的模式：列表方式与自由布局方式。列表方式为最常见的一行一行的显示，自由布局方式为卡片时效果，一份病案即一张卡片，显示效果清晰。</w:t>
            </w:r>
          </w:p>
          <w:p>
            <w:pPr>
              <w:pStyle w:val="null3"/>
              <w:ind w:firstLine="420"/>
            </w:pPr>
            <w:r>
              <w:rPr>
                <w:rFonts w:ascii="仿宋_GB2312" w:hAnsi="仿宋_GB2312" w:cs="仿宋_GB2312" w:eastAsia="仿宋_GB2312"/>
                <w:sz w:val="21"/>
              </w:rPr>
              <w:t>病案图片浏览：对病案图片的浏览进行了严格的权限控制（阅读</w:t>
            </w:r>
            <w:r>
              <w:rPr>
                <w:rFonts w:ascii="仿宋_GB2312" w:hAnsi="仿宋_GB2312" w:cs="仿宋_GB2312" w:eastAsia="仿宋_GB2312"/>
                <w:sz w:val="21"/>
              </w:rPr>
              <w:t>/打印/导出）。可以设置需要过滤的图片分类（例如只显示病案首页或病程录等），查看病案图片的同时可利用提供的‘浏览工具箱’对图片进行一系列的处理（如放大/缩小/全屏/黑白彩色切换/裁剪/打印等等）。浏览期间可对感兴趣的病案收藏到收藏夹并且可以填写笔记。显示病案图片时可以设置阅读水印，用于病案的保护。</w:t>
            </w:r>
          </w:p>
          <w:p>
            <w:pPr>
              <w:pStyle w:val="null3"/>
              <w:ind w:firstLine="422"/>
            </w:pPr>
            <w:r>
              <w:rPr>
                <w:rFonts w:ascii="仿宋_GB2312" w:hAnsi="仿宋_GB2312" w:cs="仿宋_GB2312" w:eastAsia="仿宋_GB2312"/>
                <w:sz w:val="21"/>
                <w:b/>
              </w:rPr>
              <w:t>病案收藏夹：</w:t>
            </w:r>
            <w:r>
              <w:rPr>
                <w:rFonts w:ascii="仿宋_GB2312" w:hAnsi="仿宋_GB2312" w:cs="仿宋_GB2312" w:eastAsia="仿宋_GB2312"/>
                <w:sz w:val="21"/>
              </w:rPr>
              <w:t>用于显示及搜索在浏览病案时收藏的病案并且可以显示当时记录的病案笔记，类似</w:t>
            </w:r>
            <w:r>
              <w:rPr>
                <w:rFonts w:ascii="仿宋_GB2312" w:hAnsi="仿宋_GB2312" w:cs="仿宋_GB2312" w:eastAsia="仿宋_GB2312"/>
                <w:sz w:val="21"/>
              </w:rPr>
              <w:t>IE浏览器的网页收藏夹。</w:t>
            </w:r>
          </w:p>
          <w:p>
            <w:pPr>
              <w:pStyle w:val="null3"/>
              <w:ind w:firstLine="420"/>
            </w:pPr>
            <w:r>
              <w:rPr>
                <w:rFonts w:ascii="仿宋_GB2312" w:hAnsi="仿宋_GB2312" w:cs="仿宋_GB2312" w:eastAsia="仿宋_GB2312"/>
                <w:sz w:val="21"/>
              </w:rPr>
              <w:t>申请查看：可以浏览并查询用户曾经申请过的需要查阅的病案的记录，及时了解审批情况。</w:t>
            </w:r>
          </w:p>
          <w:p>
            <w:pPr>
              <w:pStyle w:val="null3"/>
              <w:ind w:firstLine="420"/>
            </w:pPr>
            <w:r>
              <w:rPr>
                <w:rFonts w:ascii="仿宋_GB2312" w:hAnsi="仿宋_GB2312" w:cs="仿宋_GB2312" w:eastAsia="仿宋_GB2312"/>
                <w:sz w:val="21"/>
              </w:rPr>
              <w:t>浏览历史：查询用户曾经浏览过的病案记录，类似</w:t>
            </w:r>
            <w:r>
              <w:rPr>
                <w:rFonts w:ascii="仿宋_GB2312" w:hAnsi="仿宋_GB2312" w:cs="仿宋_GB2312" w:eastAsia="仿宋_GB2312"/>
                <w:sz w:val="21"/>
              </w:rPr>
              <w:t>IE浏览器的历史记录，可以方便用户查看以往浏览过的病案，而无须再一次搜索。</w:t>
            </w:r>
          </w:p>
          <w:p>
            <w:pPr>
              <w:pStyle w:val="null3"/>
              <w:ind w:firstLine="422"/>
            </w:pPr>
            <w:r>
              <w:rPr>
                <w:rFonts w:ascii="仿宋_GB2312" w:hAnsi="仿宋_GB2312" w:cs="仿宋_GB2312" w:eastAsia="仿宋_GB2312"/>
                <w:sz w:val="21"/>
                <w:b/>
              </w:rPr>
              <w:t>个性化设置：</w:t>
            </w:r>
            <w:r>
              <w:rPr>
                <w:rFonts w:ascii="仿宋_GB2312" w:hAnsi="仿宋_GB2312" w:cs="仿宋_GB2312" w:eastAsia="仿宋_GB2312"/>
                <w:sz w:val="21"/>
              </w:rPr>
              <w:t>可以按照用户个人的喜好设置一些系统设置，如：首页显示（进入系统后显示的第一个界面），浏览结果的显示方式（检索结果每页显示的条数</w:t>
            </w:r>
            <w:r>
              <w:rPr>
                <w:rFonts w:ascii="仿宋_GB2312" w:hAnsi="仿宋_GB2312" w:cs="仿宋_GB2312" w:eastAsia="仿宋_GB2312"/>
                <w:sz w:val="21"/>
              </w:rPr>
              <w:t>/检索结果排列的方式等），医学分类的设置（用于在浏览图片时预先过滤无需查看的病案），病案图片打印的设置（纸张/水印等）等。</w:t>
            </w:r>
          </w:p>
          <w:p>
            <w:pPr>
              <w:pStyle w:val="null3"/>
              <w:ind w:firstLine="422"/>
            </w:pPr>
            <w:r>
              <w:rPr>
                <w:rFonts w:ascii="仿宋_GB2312" w:hAnsi="仿宋_GB2312" w:cs="仿宋_GB2312" w:eastAsia="仿宋_GB2312"/>
                <w:sz w:val="21"/>
                <w:b/>
              </w:rPr>
              <w:t>c)</w:t>
            </w:r>
            <w:r>
              <w:rPr>
                <w:rFonts w:ascii="仿宋_GB2312" w:hAnsi="仿宋_GB2312" w:cs="仿宋_GB2312" w:eastAsia="仿宋_GB2312"/>
                <w:sz w:val="21"/>
                <w:b/>
              </w:rPr>
              <w:t>打印模块</w:t>
            </w:r>
          </w:p>
          <w:p>
            <w:pPr>
              <w:pStyle w:val="null3"/>
              <w:ind w:firstLine="420"/>
            </w:pPr>
            <w:r>
              <w:rPr>
                <w:rFonts w:ascii="仿宋_GB2312" w:hAnsi="仿宋_GB2312" w:cs="仿宋_GB2312" w:eastAsia="仿宋_GB2312"/>
                <w:sz w:val="21"/>
              </w:rPr>
              <w:t>打印申请：维护申请打印人员的信息及申请分类（打印或复印），可拍摄证件并归档保存，查询并选择需打印的病案，同时统计所需费用，并可自己调整实际收费。</w:t>
            </w:r>
          </w:p>
          <w:p>
            <w:pPr>
              <w:pStyle w:val="null3"/>
              <w:ind w:firstLine="420"/>
            </w:pPr>
            <w:r>
              <w:rPr>
                <w:rFonts w:ascii="仿宋_GB2312" w:hAnsi="仿宋_GB2312" w:cs="仿宋_GB2312" w:eastAsia="仿宋_GB2312"/>
                <w:sz w:val="21"/>
              </w:rPr>
              <w:t>快速打印：仅登记简单的打印申请信息，选择病案直接打印。</w:t>
            </w:r>
          </w:p>
          <w:p>
            <w:pPr>
              <w:pStyle w:val="null3"/>
              <w:ind w:firstLine="420"/>
            </w:pPr>
            <w:r>
              <w:rPr>
                <w:rFonts w:ascii="仿宋_GB2312" w:hAnsi="仿宋_GB2312" w:cs="仿宋_GB2312" w:eastAsia="仿宋_GB2312"/>
                <w:sz w:val="21"/>
              </w:rPr>
              <w:t>集中打印：未打印过的病案可以统一处理，按照申请人的记录完成打印任务。</w:t>
            </w:r>
          </w:p>
          <w:p>
            <w:pPr>
              <w:pStyle w:val="null3"/>
              <w:ind w:firstLine="420"/>
            </w:pPr>
            <w:r>
              <w:rPr>
                <w:rFonts w:ascii="仿宋_GB2312" w:hAnsi="仿宋_GB2312" w:cs="仿宋_GB2312" w:eastAsia="仿宋_GB2312"/>
                <w:sz w:val="21"/>
              </w:rPr>
              <w:t>集中复印：对未复印的病案进行集中统一处理。</w:t>
            </w:r>
          </w:p>
          <w:p>
            <w:pPr>
              <w:pStyle w:val="null3"/>
              <w:ind w:firstLine="420"/>
            </w:pPr>
            <w:r>
              <w:rPr>
                <w:rFonts w:ascii="仿宋_GB2312" w:hAnsi="仿宋_GB2312" w:cs="仿宋_GB2312" w:eastAsia="仿宋_GB2312"/>
                <w:sz w:val="21"/>
              </w:rPr>
              <w:t>申请查询：查询申请过打印或复印的申请人信息，并可查看申请人相应的申请信息，证件照，打印的病案记录，费用等。</w:t>
            </w:r>
          </w:p>
          <w:p>
            <w:pPr>
              <w:pStyle w:val="null3"/>
              <w:ind w:firstLine="422"/>
            </w:pPr>
            <w:r>
              <w:rPr>
                <w:rFonts w:ascii="仿宋_GB2312" w:hAnsi="仿宋_GB2312" w:cs="仿宋_GB2312" w:eastAsia="仿宋_GB2312"/>
                <w:sz w:val="21"/>
                <w:b/>
              </w:rPr>
              <w:t>打印参数：</w:t>
            </w:r>
            <w:r>
              <w:rPr>
                <w:rFonts w:ascii="仿宋_GB2312" w:hAnsi="仿宋_GB2312" w:cs="仿宋_GB2312" w:eastAsia="仿宋_GB2312"/>
                <w:sz w:val="21"/>
              </w:rPr>
              <w:t>设置默认的打印参数（纸张大小</w:t>
            </w:r>
            <w:r>
              <w:rPr>
                <w:rFonts w:ascii="仿宋_GB2312" w:hAnsi="仿宋_GB2312" w:cs="仿宋_GB2312" w:eastAsia="仿宋_GB2312"/>
                <w:sz w:val="21"/>
              </w:rPr>
              <w:t>/图片色彩/打印份数/打印分类及顺序/收费模式）</w:t>
            </w:r>
          </w:p>
          <w:p>
            <w:pPr>
              <w:pStyle w:val="null3"/>
              <w:ind w:firstLine="422"/>
            </w:pPr>
            <w:r>
              <w:rPr>
                <w:rFonts w:ascii="仿宋_GB2312" w:hAnsi="仿宋_GB2312" w:cs="仿宋_GB2312" w:eastAsia="仿宋_GB2312"/>
                <w:sz w:val="21"/>
                <w:b/>
              </w:rPr>
              <w:t>打印明细</w:t>
            </w:r>
            <w:r>
              <w:rPr>
                <w:rFonts w:ascii="仿宋_GB2312" w:hAnsi="仿宋_GB2312" w:cs="仿宋_GB2312" w:eastAsia="仿宋_GB2312"/>
                <w:sz w:val="21"/>
              </w:rPr>
              <w:t>：按时间段及申请人统计申请人打印的病案的明细记录。</w:t>
            </w:r>
          </w:p>
          <w:p>
            <w:pPr>
              <w:pStyle w:val="null3"/>
              <w:ind w:firstLine="420"/>
            </w:pPr>
            <w:r>
              <w:rPr>
                <w:rFonts w:ascii="仿宋_GB2312" w:hAnsi="仿宋_GB2312" w:cs="仿宋_GB2312" w:eastAsia="仿宋_GB2312"/>
                <w:sz w:val="21"/>
              </w:rPr>
              <w:t>复印明细：按时间段及申请人统计申请人复印的病案的明细记录。</w:t>
            </w:r>
          </w:p>
          <w:p>
            <w:pPr>
              <w:pStyle w:val="null3"/>
            </w:pPr>
            <w:r>
              <w:rPr>
                <w:rFonts w:ascii="仿宋_GB2312" w:hAnsi="仿宋_GB2312" w:cs="仿宋_GB2312" w:eastAsia="仿宋_GB2312"/>
                <w:sz w:val="21"/>
              </w:rPr>
              <w:t>邮寄明细：按时间段、申请人及邮寄状态统计病案邮寄的明细记录。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三</w:t>
            </w:r>
            <w:r>
              <w:rPr>
                <w:rFonts w:ascii="仿宋_GB2312" w:hAnsi="仿宋_GB2312" w:cs="仿宋_GB2312" w:eastAsia="仿宋_GB2312"/>
                <w:sz w:val="21"/>
                <w:b/>
              </w:rPr>
              <w:t>、服务要求</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系统符合国家、卫生部等各种标准和规范，符合医院实际需求。</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系统采用开放性设计，能根据医院实际需求进行应用系统的功能重组、二次开发。</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系统病案检索有单一和组合模式，按使用者需求检索所需病案。</w:t>
            </w:r>
          </w:p>
          <w:p>
            <w:pPr>
              <w:pStyle w:val="null3"/>
              <w:ind w:firstLine="420"/>
            </w:pPr>
            <w:r>
              <w:rPr>
                <w:rFonts w:ascii="仿宋_GB2312" w:hAnsi="仿宋_GB2312" w:cs="仿宋_GB2312" w:eastAsia="仿宋_GB2312"/>
                <w:sz w:val="21"/>
              </w:rPr>
              <w:t>4.</w:t>
            </w:r>
            <w:r>
              <w:rPr>
                <w:rFonts w:ascii="仿宋_GB2312" w:hAnsi="仿宋_GB2312" w:cs="仿宋_GB2312" w:eastAsia="仿宋_GB2312"/>
                <w:sz w:val="21"/>
              </w:rPr>
              <w:t>阅读显示病案图像具有水印，能防范数码相机偷拍。屏蔽非法拷贝病案，具有彩色和黑白阅读打印功能。</w:t>
            </w:r>
          </w:p>
          <w:p>
            <w:pPr>
              <w:pStyle w:val="null3"/>
              <w:ind w:firstLine="420"/>
            </w:pPr>
            <w:r>
              <w:rPr>
                <w:rFonts w:ascii="仿宋_GB2312" w:hAnsi="仿宋_GB2312" w:cs="仿宋_GB2312" w:eastAsia="仿宋_GB2312"/>
                <w:sz w:val="21"/>
              </w:rPr>
              <w:t>5.</w:t>
            </w:r>
            <w:r>
              <w:rPr>
                <w:rFonts w:ascii="仿宋_GB2312" w:hAnsi="仿宋_GB2312" w:cs="仿宋_GB2312" w:eastAsia="仿宋_GB2312"/>
                <w:sz w:val="21"/>
              </w:rPr>
              <w:t>设有使用权限数字化病案功能；设有网络申请和审批使用数字化病案功能；设有授权的时段内（永久、年、月、日、小时）功能（超出时间范围自动屏蔽）；医保、商业保险公司以及公检法等外部用户可以按系统临时授予的权限查看病案。</w:t>
            </w:r>
          </w:p>
          <w:p>
            <w:pPr>
              <w:pStyle w:val="null3"/>
              <w:ind w:firstLine="420"/>
            </w:pPr>
            <w:r>
              <w:rPr>
                <w:rFonts w:ascii="仿宋_GB2312" w:hAnsi="仿宋_GB2312" w:cs="仿宋_GB2312" w:eastAsia="仿宋_GB2312"/>
                <w:sz w:val="21"/>
              </w:rPr>
              <w:t>6.</w:t>
            </w:r>
            <w:r>
              <w:rPr>
                <w:rFonts w:ascii="仿宋_GB2312" w:hAnsi="仿宋_GB2312" w:cs="仿宋_GB2312" w:eastAsia="仿宋_GB2312"/>
                <w:sz w:val="21"/>
              </w:rPr>
              <w:t>病案访问权限分为阅读、打印和导出三类，每一级权限向下兼容，访问控制包括用户组权限、科室权限、有效期限制、医学分类限制、</w:t>
            </w:r>
            <w:r>
              <w:rPr>
                <w:rFonts w:ascii="仿宋_GB2312" w:hAnsi="仿宋_GB2312" w:cs="仿宋_GB2312" w:eastAsia="仿宋_GB2312"/>
                <w:sz w:val="21"/>
              </w:rPr>
              <w:t>IP地址限制、显示字段限制和特殊病案锁定。</w:t>
            </w:r>
          </w:p>
          <w:p>
            <w:pPr>
              <w:pStyle w:val="null3"/>
              <w:ind w:firstLine="420"/>
            </w:pPr>
            <w:r>
              <w:rPr>
                <w:rFonts w:ascii="仿宋_GB2312" w:hAnsi="仿宋_GB2312" w:cs="仿宋_GB2312" w:eastAsia="仿宋_GB2312"/>
                <w:sz w:val="21"/>
              </w:rPr>
              <w:t>7.</w:t>
            </w:r>
            <w:r>
              <w:rPr>
                <w:rFonts w:ascii="仿宋_GB2312" w:hAnsi="仿宋_GB2312" w:cs="仿宋_GB2312" w:eastAsia="仿宋_GB2312"/>
                <w:sz w:val="21"/>
              </w:rPr>
              <w:t>系统自动记录用户在系统内所有操作的详细日志，并可形成报表，便于回溯追踪。</w:t>
            </w:r>
          </w:p>
          <w:p>
            <w:pPr>
              <w:pStyle w:val="null3"/>
              <w:ind w:firstLine="420"/>
            </w:pPr>
            <w:r>
              <w:rPr>
                <w:rFonts w:ascii="仿宋_GB2312" w:hAnsi="仿宋_GB2312" w:cs="仿宋_GB2312" w:eastAsia="仿宋_GB2312"/>
                <w:sz w:val="21"/>
              </w:rPr>
              <w:t>8.</w:t>
            </w:r>
            <w:r>
              <w:rPr>
                <w:rFonts w:ascii="仿宋_GB2312" w:hAnsi="仿宋_GB2312" w:cs="仿宋_GB2312" w:eastAsia="仿宋_GB2312"/>
                <w:sz w:val="21"/>
              </w:rPr>
              <w:t>系统可实现对病案数据的磁盘备份，提供定时定期的数据备份以及还原功能。</w:t>
            </w:r>
          </w:p>
          <w:p>
            <w:pPr>
              <w:pStyle w:val="null3"/>
              <w:ind w:firstLine="420"/>
            </w:pPr>
            <w:r>
              <w:rPr>
                <w:rFonts w:ascii="仿宋_GB2312" w:hAnsi="仿宋_GB2312" w:cs="仿宋_GB2312" w:eastAsia="仿宋_GB2312"/>
                <w:sz w:val="21"/>
              </w:rPr>
              <w:t>9.</w:t>
            </w:r>
            <w:r>
              <w:rPr>
                <w:rFonts w:ascii="仿宋_GB2312" w:hAnsi="仿宋_GB2312" w:cs="仿宋_GB2312" w:eastAsia="仿宋_GB2312"/>
                <w:sz w:val="21"/>
              </w:rPr>
              <w:t>数字化病案的图像清晰、无歪斜、打印清晰，每幅图像均有属性标注，病历索引数据与病历图像对应完全正确。</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rPr>
              <w:t>四</w:t>
            </w:r>
            <w:r>
              <w:rPr>
                <w:rFonts w:ascii="仿宋_GB2312" w:hAnsi="仿宋_GB2312" w:cs="仿宋_GB2312" w:eastAsia="仿宋_GB2312"/>
                <w:sz w:val="21"/>
                <w:b/>
              </w:rPr>
              <w:t>、其他</w:t>
            </w:r>
          </w:p>
          <w:p>
            <w:pPr>
              <w:pStyle w:val="null3"/>
            </w:pPr>
            <w:r>
              <w:rPr>
                <w:rFonts w:ascii="仿宋_GB2312" w:hAnsi="仿宋_GB2312" w:cs="仿宋_GB2312" w:eastAsia="仿宋_GB2312"/>
                <w:sz w:val="21"/>
              </w:rPr>
              <w:t>（一）</w:t>
            </w:r>
            <w:r>
              <w:rPr>
                <w:rFonts w:ascii="仿宋_GB2312" w:hAnsi="仿宋_GB2312" w:cs="仿宋_GB2312" w:eastAsia="仿宋_GB2312"/>
                <w:sz w:val="21"/>
              </w:rPr>
              <w:t>进度要求</w:t>
            </w:r>
          </w:p>
          <w:p>
            <w:pPr>
              <w:pStyle w:val="null3"/>
              <w:ind w:firstLine="420"/>
            </w:pPr>
            <w:r>
              <w:rPr>
                <w:rFonts w:ascii="仿宋_GB2312" w:hAnsi="仿宋_GB2312" w:cs="仿宋_GB2312" w:eastAsia="仿宋_GB2312"/>
                <w:sz w:val="21"/>
              </w:rPr>
              <w:t>按时完成</w:t>
            </w:r>
            <w:r>
              <w:rPr>
                <w:rFonts w:ascii="仿宋_GB2312" w:hAnsi="仿宋_GB2312" w:cs="仿宋_GB2312" w:eastAsia="仿宋_GB2312"/>
                <w:sz w:val="21"/>
              </w:rPr>
              <w:t>医院要求</w:t>
            </w:r>
            <w:r>
              <w:rPr>
                <w:rFonts w:ascii="仿宋_GB2312" w:hAnsi="仿宋_GB2312" w:cs="仿宋_GB2312" w:eastAsia="仿宋_GB2312"/>
                <w:sz w:val="21"/>
              </w:rPr>
              <w:t>的纸质病案数字化。</w:t>
            </w:r>
          </w:p>
          <w:p>
            <w:pPr>
              <w:pStyle w:val="null3"/>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）成果交付要求</w:t>
            </w:r>
          </w:p>
          <w:p>
            <w:pPr>
              <w:pStyle w:val="null3"/>
              <w:ind w:firstLine="420"/>
            </w:pPr>
            <w:r>
              <w:rPr>
                <w:rFonts w:ascii="仿宋_GB2312" w:hAnsi="仿宋_GB2312" w:cs="仿宋_GB2312" w:eastAsia="仿宋_GB2312"/>
                <w:sz w:val="21"/>
              </w:rPr>
              <w:t>对于成果提交型的项目，应当在采购需求中明确服务商应提交的最终成果的内容、规格和数量等。</w:t>
            </w:r>
          </w:p>
          <w:p>
            <w:pPr>
              <w:pStyle w:val="null3"/>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）质量验收标准或规范</w:t>
            </w:r>
          </w:p>
          <w:p>
            <w:pPr>
              <w:pStyle w:val="null3"/>
            </w:pPr>
            <w:r>
              <w:rPr>
                <w:rFonts w:ascii="仿宋_GB2312" w:hAnsi="仿宋_GB2312" w:cs="仿宋_GB2312" w:eastAsia="仿宋_GB2312"/>
                <w:sz w:val="21"/>
              </w:rPr>
              <w:t xml:space="preserve">  现行的国家标准或国家行政部门颁布的法律法规、规章制度等，是项目验收的另一个重要依据。没有国家标准的，可以参考行业标准。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验收方法： 中标方协助采购人随机抽查一定数量的病案图像和纸质病案，比例为数字化病案图像总数的3%，前、中、后随机抽查，并与纸质病案对照核对数量及质量。 验收标准： ① 数字化病案图像是否与纸质病案完全一致。 ② 数字化病案图像格式和清晰度是否符合要求； ③ 数字化病案的文件夹命名是否合乎标准，是否已分段； ④ 差错率：依据“纸质档案数字化技术标准（中华人民共和国档案行业标准 DA/T31-2005）”11.2.2之规定，数字化转换质量抽检的合格率应≧95%。 ⑤ 首页信息的主要数据项（姓名、病案号、出院日期、主要诊断、手术）的差错率不得超过3‰。</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验收合格后，按照实际已验收制作数量x单价据实结算，每季度结算一次，中标供应商应在采购人付款前提供等额合规发票，否则采购人有权拒付合同款项，且不承担任何责任，达到付款条件起30日内，支付每季度实际制作数量的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1、支付约定：付款方式以合同文本为准。 2、供应商需要在线提交所有通过电子化交易平台实施的政府采购项目的投标文件，同时，线下提交投标 文件正本 壹 份、副本 贰 份。若电子投标文件 与纸质投标文件不一致的，以线上提交的电子投标文件为准。3、线下提交投标文件地点：西安市高新区唐延路旺座现代城C座25楼2502室。 4、联系电话：029-88319689-8003/8005；邮箱：sxwzzb04@163.com 5、供应商登记免费领取采购文件的，如不参与项目投标，应在递交投标（或响应）文件截止时间一日前以书面形式告知采购代理机构（自拟弃标函，发送至以上邮箱）。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法定代表人直接参加的，只须提供《法定代表人身份证明》；非法定代表人参加的，须提供《法定代表人授权书》，并提供被授权人响应文件提交截至时间前近三个月在本公司的社会保障资金缴纳证明。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至时间前近一年内任意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提供响应文件提交截至时间前近一年内任意一个月的纳税证明或完税证明；依法免税的单位应提供相关证明材料。（以税收所属时期为准）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审计的2024年度或2025年度的财务审计报告复印件（财务报告是指经会计师事务所审计的上述指定年度整个会计年度财务报表,复印件至少须包括报告正文、资产负债表、利润表、现金流量表、附注和会计师事务所营业执照，报告正文应当有会计师事务所公章和2名注册会计师的签字及盖章。且审计报告应当经过注册会计师行业统一监管平台备案赋码），或在响应文件提交截至时间前六个月内其基本开户银行出具的资信证明和基本户证明材料(若供应商成立时间不足六个月，需提供成立至今的财务状况证明材料，或成立至响应文件提交截至时间前的基本开户银行出具的资信证明和基本户证明材料)。（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本项目不接受联合体投标，供应商应提供非联合体声明函。（格式自拟）</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3.异常低价审查： 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投标（响应）供应商不能提供上述低价书面说明、证明材料（包括但不限于原材料成本、人工成本、制造费用等），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供应商名称是否与主体资格证书及公章一致</w:t>
            </w:r>
          </w:p>
        </w:tc>
        <w:tc>
          <w:tcPr>
            <w:tcW w:type="dxa" w:w="1661"/>
          </w:tcPr>
          <w:p>
            <w:pPr>
              <w:pStyle w:val="null3"/>
            </w:pPr>
            <w:r>
              <w:rPr>
                <w:rFonts w:ascii="仿宋_GB2312" w:hAnsi="仿宋_GB2312" w:cs="仿宋_GB2312" w:eastAsia="仿宋_GB2312"/>
              </w:rPr>
              <w:t>人员配备 中小企业声明函 供应商认为有必要说明的其他问题 承诺书 供应商应提交的相关资格证明材料 报价表 保密方案 产品整体性能 企业实力 应急预案 业绩一览表 响应文件封面 技术参数偏离表 售后服务 商务偏离表 残疾人福利性单位声明函 服务方案 标的清单 响应函 监狱企业的证明文件 对接能力</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不属于磋商文件规定的无效情形</w:t>
            </w:r>
          </w:p>
        </w:tc>
        <w:tc>
          <w:tcPr>
            <w:tcW w:type="dxa" w:w="3322"/>
          </w:tcPr>
          <w:p>
            <w:pPr>
              <w:pStyle w:val="null3"/>
            </w:pPr>
            <w:r>
              <w:rPr>
                <w:rFonts w:ascii="仿宋_GB2312" w:hAnsi="仿宋_GB2312" w:cs="仿宋_GB2312" w:eastAsia="仿宋_GB2312"/>
              </w:rPr>
              <w:t>供应商按照磋商文件要求上传响应文件</w:t>
            </w:r>
          </w:p>
        </w:tc>
        <w:tc>
          <w:tcPr>
            <w:tcW w:type="dxa" w:w="1661"/>
          </w:tcPr>
          <w:p>
            <w:pPr>
              <w:pStyle w:val="null3"/>
            </w:pPr>
            <w:r>
              <w:rPr>
                <w:rFonts w:ascii="仿宋_GB2312" w:hAnsi="仿宋_GB2312" w:cs="仿宋_GB2312" w:eastAsia="仿宋_GB2312"/>
              </w:rPr>
              <w:t>人员配备 中小企业声明函 供应商认为有必要说明的其他问题 承诺书 供应商应提交的相关资格证明材料 报价表 保密方案 产品整体性能 企业实力 应急预案 业绩一览表 响应文件封面 技术参数偏离表 售后服务 商务偏离表 残疾人福利性单位声明函 服务方案 标的清单 响应函 监狱企业的证明文件 对接能力</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服务期是否满足采购文件要求</w:t>
            </w:r>
          </w:p>
        </w:tc>
        <w:tc>
          <w:tcPr>
            <w:tcW w:type="dxa" w:w="1661"/>
          </w:tcPr>
          <w:p>
            <w:pPr>
              <w:pStyle w:val="null3"/>
            </w:pPr>
            <w:r>
              <w:rPr>
                <w:rFonts w:ascii="仿宋_GB2312" w:hAnsi="仿宋_GB2312" w:cs="仿宋_GB2312" w:eastAsia="仿宋_GB2312"/>
              </w:rPr>
              <w:t>商务偏离表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与采购文件商务要求条款不一致或增加了采购人难以接受的条款</w:t>
            </w:r>
          </w:p>
        </w:tc>
        <w:tc>
          <w:tcPr>
            <w:tcW w:type="dxa" w:w="1661"/>
          </w:tcPr>
          <w:p>
            <w:pPr>
              <w:pStyle w:val="null3"/>
            </w:pPr>
            <w:r>
              <w:rPr>
                <w:rFonts w:ascii="仿宋_GB2312" w:hAnsi="仿宋_GB2312" w:cs="仿宋_GB2312" w:eastAsia="仿宋_GB2312"/>
              </w:rPr>
              <w:t>商务偏离表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人员配备 中小企业声明函 供应商认为有必要说明的其他问题 承诺书 供应商应提交的相关资格证明材料 报价表 保密方案 产品整体性能 企业实力 应急预案 业绩一览表 响应文件封面 技术参数偏离表 售后服务 商务偏离表 残疾人福利性单位声明函 服务方案 标的清单 响应函 监狱企业的证明文件 对接能力</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法律法规和实质性要求：是否符合法律法规和采购文件规定的其他实质性要求</w:t>
            </w:r>
          </w:p>
        </w:tc>
        <w:tc>
          <w:tcPr>
            <w:tcW w:type="dxa" w:w="1661"/>
          </w:tcPr>
          <w:p>
            <w:pPr>
              <w:pStyle w:val="null3"/>
            </w:pPr>
            <w:r>
              <w:rPr>
                <w:rFonts w:ascii="仿宋_GB2312" w:hAnsi="仿宋_GB2312" w:cs="仿宋_GB2312" w:eastAsia="仿宋_GB2312"/>
              </w:rPr>
              <w:t>人员配备 中小企业声明函 供应商认为有必要说明的其他问题 承诺书 供应商应提交的相关资格证明材料 报价表 保密方案 产品整体性能 企业实力 应急预案 业绩一览表 响应文件封面 技术参数偏离表 售后服务 商务偏离表 残疾人福利性单位声明函 服务方案 标的清单 响应函 监狱企业的证明文件 对接能力</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（1）供应商不是西安市中心医院的职工投资开办或控股企业; (2)西安市中心医院的职工本人或其亲属未在供应商担任高管、独立董事等具有重大利益关系职务。</w:t>
            </w:r>
          </w:p>
        </w:tc>
        <w:tc>
          <w:tcPr>
            <w:tcW w:type="dxa" w:w="1661"/>
          </w:tcPr>
          <w:p>
            <w:pPr>
              <w:pStyle w:val="null3"/>
            </w:pPr>
            <w:r>
              <w:rPr>
                <w:rFonts w:ascii="仿宋_GB2312" w:hAnsi="仿宋_GB2312" w:cs="仿宋_GB2312" w:eastAsia="仿宋_GB2312"/>
              </w:rPr>
              <w:t>响应文件封面 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产品整体性能</w:t>
            </w:r>
          </w:p>
        </w:tc>
        <w:tc>
          <w:tcPr>
            <w:tcW w:type="dxa" w:w="2492"/>
          </w:tcPr>
          <w:p>
            <w:pPr>
              <w:pStyle w:val="null3"/>
            </w:pPr>
            <w:r>
              <w:rPr>
                <w:rFonts w:ascii="仿宋_GB2312" w:hAnsi="仿宋_GB2312" w:cs="仿宋_GB2312" w:eastAsia="仿宋_GB2312"/>
              </w:rPr>
              <w:t>技术指标评审：完全响应或优于得20分。技术指标参数一项不满足扣2分，扣完为止。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w:t>
            </w:r>
          </w:p>
          <w:p>
            <w:pPr>
              <w:pStyle w:val="null3"/>
            </w:pPr>
            <w:r>
              <w:rPr>
                <w:rFonts w:ascii="仿宋_GB2312" w:hAnsi="仿宋_GB2312" w:cs="仿宋_GB2312" w:eastAsia="仿宋_GB2312"/>
              </w:rPr>
              <w:t>产品整体性能</w:t>
            </w:r>
          </w:p>
        </w:tc>
      </w:tr>
      <w:tr>
        <w:tc>
          <w:tcPr>
            <w:tcW w:type="dxa" w:w="831"/>
            <w:vMerge/>
          </w:tcPr>
          <w:p/>
        </w:tc>
        <w:tc>
          <w:tcPr>
            <w:tcW w:type="dxa" w:w="1661"/>
          </w:tcPr>
          <w:p>
            <w:pPr>
              <w:pStyle w:val="null3"/>
            </w:pPr>
            <w:r>
              <w:rPr>
                <w:rFonts w:ascii="仿宋_GB2312" w:hAnsi="仿宋_GB2312" w:cs="仿宋_GB2312" w:eastAsia="仿宋_GB2312"/>
              </w:rPr>
              <w:t>对接能力</w:t>
            </w:r>
          </w:p>
        </w:tc>
        <w:tc>
          <w:tcPr>
            <w:tcW w:type="dxa" w:w="2492"/>
          </w:tcPr>
          <w:p>
            <w:pPr>
              <w:pStyle w:val="null3"/>
            </w:pPr>
            <w:r>
              <w:rPr>
                <w:rFonts w:ascii="仿宋_GB2312" w:hAnsi="仿宋_GB2312" w:cs="仿宋_GB2312" w:eastAsia="仿宋_GB2312"/>
              </w:rPr>
              <w:t>供应商所投产品可与现有系统无缝对接得3分，无法实现得0分。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技术参数偏离表</w:t>
            </w:r>
          </w:p>
          <w:p>
            <w:pPr>
              <w:pStyle w:val="null3"/>
            </w:pPr>
            <w:r>
              <w:rPr>
                <w:rFonts w:ascii="仿宋_GB2312" w:hAnsi="仿宋_GB2312" w:cs="仿宋_GB2312" w:eastAsia="仿宋_GB2312"/>
              </w:rPr>
              <w:t>对接能力</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制定内容清晰详实的服务方案及流程。包含①档案整理②档案清查③档案存储等服务内容制定服务方案。完整提供上述3项内容的得9分；每有一项未提供扣3分，扣完为止；每有一处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技术参数偏离表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针对本项目的人员配备，人员安排有具体方案，包含①人员配备清单；②岗位分工；③配备人员资质证书④人员管理制度。完整提供上述4项内容的得6分；每有一项未提供扣1.5分，扣完为止；每有一处有缺陷扣0.5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技术参数偏离表</w:t>
            </w:r>
          </w:p>
          <w:p>
            <w:pPr>
              <w:pStyle w:val="null3"/>
            </w:pPr>
            <w:r>
              <w:rPr>
                <w:rFonts w:ascii="仿宋_GB2312" w:hAnsi="仿宋_GB2312" w:cs="仿宋_GB2312" w:eastAsia="仿宋_GB2312"/>
              </w:rPr>
              <w:t>人员配备</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1、供应商提供档案数字化加工服务认证证书得2分； 2、提供档案信息化管理师证得2分； 3、提供病案数字化管理系统著作权证得1分。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w:t>
            </w:r>
          </w:p>
          <w:p>
            <w:pPr>
              <w:pStyle w:val="null3"/>
            </w:pPr>
            <w:r>
              <w:rPr>
                <w:rFonts w:ascii="仿宋_GB2312" w:hAnsi="仿宋_GB2312" w:cs="仿宋_GB2312" w:eastAsia="仿宋_GB2312"/>
              </w:rPr>
              <w:t>企业实力</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提供病案安全与保密方案，能保障医院病案原件和病案影像数据的安全。安全保密方案，包含①方案对档案实体②电子数据③现场管理的保密措施。完整提供上述3项内容的得6分；每有一项未提供扣2分，扣完为止；每有一处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技术参数偏离表</w:t>
            </w:r>
          </w:p>
          <w:p>
            <w:pPr>
              <w:pStyle w:val="null3"/>
            </w:pPr>
            <w:r>
              <w:rPr>
                <w:rFonts w:ascii="仿宋_GB2312" w:hAnsi="仿宋_GB2312" w:cs="仿宋_GB2312" w:eastAsia="仿宋_GB2312"/>
              </w:rPr>
              <w:t>保密方案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供应商在服务期间争针对①停电、汛期、火灾等突发灾害有相应的应急预案②人员职责分工③提供备用电源。 完整提供上述3项内容的得6分；每有一项未提供扣2分，扣完为止；每有一处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技术参数偏离表</w:t>
            </w:r>
          </w:p>
          <w:p>
            <w:pPr>
              <w:pStyle w:val="null3"/>
            </w:pPr>
            <w:r>
              <w:rPr>
                <w:rFonts w:ascii="仿宋_GB2312" w:hAnsi="仿宋_GB2312" w:cs="仿宋_GB2312" w:eastAsia="仿宋_GB2312"/>
              </w:rPr>
              <w:t>应急预案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针对该项目提供①售后服务计划②售后服务措施③故障修复时间④巡检次数⑤巡检时间段售后服务的保障措施、质保时间、服务人员保障。 完整提供上述5项内容的得9分；每有一项未提供扣1.8分，扣完为止；每有一处有缺陷扣0.5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技术参数偏离表</w:t>
            </w:r>
          </w:p>
          <w:p>
            <w:pPr>
              <w:pStyle w:val="null3"/>
            </w:pPr>
            <w:r>
              <w:rPr>
                <w:rFonts w:ascii="仿宋_GB2312" w:hAnsi="仿宋_GB2312" w:cs="仿宋_GB2312" w:eastAsia="仿宋_GB2312"/>
              </w:rPr>
              <w:t>售后服务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业绩提供2023年12月至今（以合同签订时间为准）的类似项目业绩，每提供一个计2分，满分6分。 （磋商响应文件中附加盖供应商公章的合同复印件）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价格分统一采用单价低价优先法计算，即满足招标文件要求且投标价格最低的投标报价为评标基准价，其价格分为满分。其他投标人的价格分统一按照下列公式计算：投标报价得分=(评标基准价／投标报价)×30。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详见附件：技术参数偏离表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详见附件：产品整体性能</w:t>
      </w:r>
    </w:p>
    <w:p>
      <w:pPr>
        <w:pStyle w:val="null3"/>
        <w:ind w:firstLine="960"/>
      </w:pPr>
      <w:r>
        <w:rPr>
          <w:rFonts w:ascii="仿宋_GB2312" w:hAnsi="仿宋_GB2312" w:cs="仿宋_GB2312" w:eastAsia="仿宋_GB2312"/>
        </w:rPr>
        <w:t>详见附件：对接能力</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详见附件：人员配备</w:t>
      </w:r>
    </w:p>
    <w:p>
      <w:pPr>
        <w:pStyle w:val="null3"/>
        <w:ind w:firstLine="960"/>
      </w:pPr>
      <w:r>
        <w:rPr>
          <w:rFonts w:ascii="仿宋_GB2312" w:hAnsi="仿宋_GB2312" w:cs="仿宋_GB2312" w:eastAsia="仿宋_GB2312"/>
        </w:rPr>
        <w:t>详见附件：企业实力</w:t>
      </w:r>
    </w:p>
    <w:p>
      <w:pPr>
        <w:pStyle w:val="null3"/>
        <w:ind w:firstLine="960"/>
      </w:pPr>
      <w:r>
        <w:rPr>
          <w:rFonts w:ascii="仿宋_GB2312" w:hAnsi="仿宋_GB2312" w:cs="仿宋_GB2312" w:eastAsia="仿宋_GB2312"/>
        </w:rPr>
        <w:t>详见附件：保密方案</w:t>
      </w:r>
    </w:p>
    <w:p>
      <w:pPr>
        <w:pStyle w:val="null3"/>
        <w:ind w:firstLine="960"/>
      </w:pPr>
      <w:r>
        <w:rPr>
          <w:rFonts w:ascii="仿宋_GB2312" w:hAnsi="仿宋_GB2312" w:cs="仿宋_GB2312" w:eastAsia="仿宋_GB2312"/>
        </w:rPr>
        <w:t>详见附件：应急预案</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详见附件：供应商认为有必要说明的其他问题</w:t>
      </w:r>
    </w:p>
    <w:p>
      <w:pPr>
        <w:pStyle w:val="null3"/>
        <w:ind w:firstLine="960"/>
      </w:pPr>
      <w:r>
        <w:rPr>
          <w:rFonts w:ascii="仿宋_GB2312" w:hAnsi="仿宋_GB2312" w:cs="仿宋_GB2312" w:eastAsia="仿宋_GB2312"/>
        </w:rPr>
        <w:t>详见附件：承诺书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