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92E677">
      <w:pPr>
        <w:jc w:val="center"/>
        <w:rPr>
          <w:rFonts w:hint="eastAsia" w:ascii="宋体" w:hAnsi="宋体" w:eastAsia="宋体" w:cs="宋体"/>
          <w:b/>
          <w:bCs/>
          <w:sz w:val="32"/>
          <w:szCs w:val="32"/>
          <w:lang w:val="en-US" w:eastAsia="zh-CN"/>
        </w:rPr>
      </w:pPr>
      <w:r>
        <w:rPr>
          <w:rFonts w:hint="eastAsia" w:ascii="宋体" w:hAnsi="宋体" w:eastAsia="宋体" w:cs="宋体"/>
          <w:b/>
          <w:bCs/>
          <w:color w:val="auto"/>
          <w:kern w:val="44"/>
          <w:sz w:val="32"/>
          <w:szCs w:val="32"/>
          <w:lang w:val="en-US" w:eastAsia="zh-CN"/>
        </w:rPr>
        <w:t>沿黄路东山村废弃矿洞封堵与绿化工程</w:t>
      </w:r>
      <w:r>
        <w:rPr>
          <w:rFonts w:hint="eastAsia" w:ascii="宋体" w:hAnsi="宋体" w:eastAsia="宋体" w:cs="宋体"/>
          <w:b/>
          <w:bCs/>
          <w:color w:val="auto"/>
          <w:kern w:val="44"/>
          <w:sz w:val="32"/>
          <w:szCs w:val="32"/>
          <w:lang w:eastAsia="zh-CN"/>
        </w:rPr>
        <w:t>采购</w:t>
      </w:r>
      <w:r>
        <w:rPr>
          <w:rFonts w:hint="eastAsia" w:ascii="宋体" w:hAnsi="宋体" w:eastAsia="宋体" w:cs="宋体"/>
          <w:b/>
          <w:bCs/>
          <w:color w:val="auto"/>
          <w:kern w:val="44"/>
          <w:sz w:val="32"/>
          <w:szCs w:val="32"/>
          <w:lang w:val="en-US" w:eastAsia="zh-CN"/>
        </w:rPr>
        <w:t>需求</w:t>
      </w:r>
      <w:r>
        <w:rPr>
          <w:rFonts w:hint="eastAsia" w:ascii="宋体" w:hAnsi="宋体" w:eastAsia="宋体" w:cs="宋体"/>
          <w:b/>
          <w:bCs/>
          <w:color w:val="auto"/>
          <w:kern w:val="44"/>
          <w:sz w:val="32"/>
          <w:szCs w:val="32"/>
          <w:lang w:eastAsia="zh-CN"/>
        </w:rPr>
        <w:t>计划</w:t>
      </w:r>
    </w:p>
    <w:p w14:paraId="5034654F">
      <w:pPr>
        <w:pageBreakBefore w:val="0"/>
        <w:widowControl w:val="0"/>
        <w:numPr>
          <w:ilvl w:val="0"/>
          <w:numId w:val="1"/>
        </w:numPr>
        <w:kinsoku/>
        <w:wordWrap/>
        <w:overflowPunct/>
        <w:topLinePunct w:val="0"/>
        <w:autoSpaceDE/>
        <w:bidi w:val="0"/>
        <w:spacing w:line="420" w:lineRule="auto"/>
        <w:rPr>
          <w:rFonts w:hint="eastAsia" w:ascii="宋体" w:hAnsi="宋体" w:eastAsia="宋体" w:cs="宋体"/>
          <w:sz w:val="24"/>
          <w:szCs w:val="24"/>
          <w:lang w:val="en-US" w:eastAsia="zh-CN"/>
        </w:rPr>
      </w:pPr>
      <w:r>
        <w:rPr>
          <w:rFonts w:hint="eastAsia" w:ascii="宋体" w:hAnsi="宋体" w:eastAsia="宋体" w:cs="宋体"/>
          <w:b/>
          <w:bCs/>
          <w:color w:val="auto"/>
          <w:sz w:val="24"/>
          <w:szCs w:val="24"/>
          <w:lang w:val="en-US" w:eastAsia="zh-CN"/>
        </w:rPr>
        <w:t>项目名称：</w:t>
      </w:r>
      <w:r>
        <w:rPr>
          <w:rFonts w:hint="eastAsia" w:ascii="宋体" w:hAnsi="宋体" w:eastAsia="宋体" w:cs="宋体"/>
          <w:b w:val="0"/>
          <w:bCs w:val="0"/>
          <w:color w:val="auto"/>
          <w:sz w:val="24"/>
          <w:szCs w:val="24"/>
          <w:lang w:val="en-US" w:eastAsia="zh-CN"/>
        </w:rPr>
        <w:t>沿黄路东山村废弃矿洞封堵与绿化工程</w:t>
      </w:r>
    </w:p>
    <w:p w14:paraId="35A806EB">
      <w:pPr>
        <w:pageBreakBefore w:val="0"/>
        <w:widowControl w:val="0"/>
        <w:numPr>
          <w:ilvl w:val="0"/>
          <w:numId w:val="1"/>
        </w:numPr>
        <w:kinsoku/>
        <w:wordWrap/>
        <w:overflowPunct/>
        <w:topLinePunct w:val="0"/>
        <w:autoSpaceDE/>
        <w:bidi w:val="0"/>
        <w:spacing w:line="420" w:lineRule="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项目明细、资金构成和采购方式：</w:t>
      </w:r>
    </w:p>
    <w:p w14:paraId="62B75BD2">
      <w:pPr>
        <w:pageBreakBefore w:val="0"/>
        <w:widowControl w:val="0"/>
        <w:kinsoku/>
        <w:wordWrap/>
        <w:overflowPunct/>
        <w:topLinePunct w:val="0"/>
        <w:autoSpaceDE/>
        <w:bidi w:val="0"/>
        <w:spacing w:line="42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1、采购项目明细：见上传审批附件清单</w:t>
      </w:r>
    </w:p>
    <w:p w14:paraId="691EB704">
      <w:pPr>
        <w:pageBreakBefore w:val="0"/>
        <w:widowControl w:val="0"/>
        <w:kinsoku/>
        <w:wordWrap/>
        <w:overflowPunct/>
        <w:topLinePunct w:val="0"/>
        <w:autoSpaceDE/>
        <w:bidi w:val="0"/>
        <w:spacing w:line="420" w:lineRule="auto"/>
        <w:ind w:firstLine="480" w:firstLineChars="20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2、资金来源：</w:t>
      </w:r>
      <w:r>
        <w:rPr>
          <w:rFonts w:hint="eastAsia" w:ascii="宋体" w:hAnsi="宋体" w:eastAsia="宋体" w:cs="宋体"/>
          <w:color w:val="auto"/>
          <w:sz w:val="24"/>
          <w:szCs w:val="24"/>
          <w:lang w:val="en-US" w:eastAsia="zh-CN"/>
        </w:rPr>
        <w:t>财政资金</w:t>
      </w:r>
      <w:bookmarkStart w:id="6" w:name="_GoBack"/>
      <w:bookmarkEnd w:id="6"/>
    </w:p>
    <w:p w14:paraId="566E0793">
      <w:pPr>
        <w:pageBreakBefore w:val="0"/>
        <w:widowControl w:val="0"/>
        <w:kinsoku/>
        <w:wordWrap/>
        <w:overflowPunct/>
        <w:topLinePunct w:val="0"/>
        <w:autoSpaceDE/>
        <w:bidi w:val="0"/>
        <w:spacing w:line="42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highlight w:val="none"/>
          <w:lang w:val="en-US" w:eastAsia="zh-CN"/>
        </w:rPr>
        <w:t>3、采购方</w:t>
      </w:r>
      <w:r>
        <w:rPr>
          <w:rFonts w:hint="eastAsia" w:ascii="宋体" w:hAnsi="宋体" w:eastAsia="宋体" w:cs="宋体"/>
          <w:sz w:val="24"/>
          <w:szCs w:val="24"/>
          <w:lang w:val="en-US" w:eastAsia="zh-CN"/>
        </w:rPr>
        <w:t>式：竞争性磋商</w:t>
      </w:r>
    </w:p>
    <w:p w14:paraId="30A6AFB4">
      <w:pPr>
        <w:pageBreakBefore w:val="0"/>
        <w:widowControl w:val="0"/>
        <w:kinsoku/>
        <w:wordWrap/>
        <w:overflowPunct/>
        <w:topLinePunct w:val="0"/>
        <w:autoSpaceDE/>
        <w:bidi w:val="0"/>
        <w:spacing w:line="42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三、项目工期、地点、工程概况</w:t>
      </w:r>
    </w:p>
    <w:p w14:paraId="2257652E">
      <w:pPr>
        <w:pageBreakBefore w:val="0"/>
        <w:widowControl w:val="0"/>
        <w:kinsoku/>
        <w:wordWrap/>
        <w:overflowPunct/>
        <w:topLinePunct w:val="0"/>
        <w:autoSpaceDE/>
        <w:bidi w:val="0"/>
        <w:spacing w:line="420" w:lineRule="auto"/>
        <w:ind w:firstLine="482" w:firstLineChars="200"/>
        <w:jc w:val="left"/>
        <w:rPr>
          <w:rFonts w:hint="eastAsia" w:ascii="宋体" w:hAnsi="宋体" w:eastAsia="宋体" w:cs="宋体"/>
          <w:color w:val="auto"/>
          <w:sz w:val="24"/>
          <w:szCs w:val="24"/>
          <w:lang w:val="en-US" w:eastAsia="zh-CN"/>
        </w:rPr>
      </w:pPr>
      <w:r>
        <w:rPr>
          <w:rFonts w:hint="eastAsia" w:ascii="宋体" w:hAnsi="宋体" w:eastAsia="宋体" w:cs="宋体"/>
          <w:b/>
          <w:bCs/>
          <w:sz w:val="24"/>
          <w:szCs w:val="24"/>
          <w:lang w:val="en-US" w:eastAsia="zh-CN"/>
        </w:rPr>
        <w:t>1、项目工期</w:t>
      </w:r>
      <w:r>
        <w:rPr>
          <w:rFonts w:hint="eastAsia" w:ascii="宋体" w:hAnsi="宋体" w:eastAsia="宋体" w:cs="宋体"/>
          <w:b/>
          <w:bCs/>
          <w:color w:val="auto"/>
          <w:sz w:val="24"/>
          <w:szCs w:val="24"/>
          <w:lang w:val="en-US" w:eastAsia="zh-CN"/>
        </w:rPr>
        <w:t>：180</w:t>
      </w:r>
      <w:r>
        <w:rPr>
          <w:rFonts w:hint="eastAsia" w:ascii="宋体" w:hAnsi="宋体" w:eastAsia="宋体" w:cs="宋体"/>
          <w:color w:val="auto"/>
          <w:sz w:val="24"/>
          <w:szCs w:val="24"/>
          <w:lang w:val="en-US" w:eastAsia="zh-CN"/>
        </w:rPr>
        <w:t>日历天（因天气原因、不可抗力等因素影响施工的，工期予以顺延）。</w:t>
      </w:r>
    </w:p>
    <w:p w14:paraId="3BAE7EAD">
      <w:pPr>
        <w:pageBreakBefore w:val="0"/>
        <w:widowControl w:val="0"/>
        <w:kinsoku/>
        <w:wordWrap/>
        <w:overflowPunct/>
        <w:topLinePunct w:val="0"/>
        <w:autoSpaceDE/>
        <w:bidi w:val="0"/>
        <w:spacing w:line="420" w:lineRule="auto"/>
        <w:ind w:firstLine="482" w:firstLineChars="200"/>
        <w:rPr>
          <w:rFonts w:hint="eastAsia" w:ascii="宋体" w:hAnsi="宋体" w:eastAsia="宋体" w:cs="宋体"/>
          <w:sz w:val="24"/>
          <w:szCs w:val="24"/>
          <w:lang w:val="en-US" w:eastAsia="zh-CN"/>
        </w:rPr>
      </w:pPr>
      <w:r>
        <w:rPr>
          <w:rFonts w:hint="eastAsia" w:ascii="宋体" w:hAnsi="宋体" w:eastAsia="宋体" w:cs="宋体"/>
          <w:b/>
          <w:bCs/>
          <w:color w:val="auto"/>
          <w:sz w:val="24"/>
          <w:szCs w:val="24"/>
          <w:lang w:val="en-US" w:eastAsia="zh-CN"/>
        </w:rPr>
        <w:t>2、项目实施地点：</w:t>
      </w:r>
      <w:r>
        <w:rPr>
          <w:rFonts w:hint="eastAsia" w:ascii="宋体" w:hAnsi="宋体" w:eastAsia="宋体" w:cs="宋体"/>
          <w:color w:val="auto"/>
          <w:sz w:val="24"/>
          <w:szCs w:val="24"/>
          <w:lang w:val="en-US" w:eastAsia="zh-CN"/>
        </w:rPr>
        <w:t>府</w:t>
      </w:r>
      <w:r>
        <w:rPr>
          <w:rFonts w:hint="eastAsia" w:ascii="宋体" w:hAnsi="宋体" w:eastAsia="宋体" w:cs="宋体"/>
          <w:sz w:val="24"/>
          <w:szCs w:val="24"/>
          <w:lang w:val="en-US" w:eastAsia="zh-CN"/>
        </w:rPr>
        <w:t>谷县。</w:t>
      </w:r>
    </w:p>
    <w:p w14:paraId="001DD4F1">
      <w:pPr>
        <w:pageBreakBefore w:val="0"/>
        <w:widowControl w:val="0"/>
        <w:numPr>
          <w:ilvl w:val="0"/>
          <w:numId w:val="0"/>
        </w:numPr>
        <w:kinsoku/>
        <w:wordWrap/>
        <w:overflowPunct/>
        <w:topLinePunct w:val="0"/>
        <w:autoSpaceDE/>
        <w:bidi w:val="0"/>
        <w:spacing w:line="420" w:lineRule="auto"/>
        <w:ind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3、项目概况：</w:t>
      </w:r>
    </w:p>
    <w:p w14:paraId="635A8A9C">
      <w:pPr>
        <w:pageBreakBefore w:val="0"/>
        <w:widowControl w:val="0"/>
        <w:kinsoku/>
        <w:wordWrap/>
        <w:overflowPunct/>
        <w:topLinePunct w:val="0"/>
        <w:autoSpaceDE/>
        <w:bidi w:val="0"/>
        <w:spacing w:line="420" w:lineRule="auto"/>
        <w:ind w:firstLine="480" w:firstLineChars="200"/>
        <w:rPr>
          <w:rFonts w:hint="eastAsia" w:ascii="宋体" w:hAnsi="宋体" w:eastAsia="宋体" w:cs="宋体"/>
          <w:b/>
          <w:bCs/>
          <w:color w:val="FF0000"/>
          <w:sz w:val="24"/>
          <w:szCs w:val="24"/>
          <w:highlight w:val="green"/>
          <w:lang w:val="en-US" w:eastAsia="zh-CN"/>
        </w:rPr>
      </w:pPr>
      <w:r>
        <w:rPr>
          <w:rFonts w:hint="eastAsia" w:ascii="宋体" w:hAnsi="宋体" w:eastAsia="宋体" w:cs="宋体"/>
          <w:sz w:val="24"/>
          <w:szCs w:val="24"/>
          <w:lang w:val="en-US" w:eastAsia="zh-CN"/>
        </w:rPr>
        <w:t>沿黄路东山村废弃矿洞封堵与绿化工程，主要内容包括：本工程属于新建工程，建设地点位于府谷县沿黄公路东山村沿线，对沿线废弃30个洞口进行钢筋混凝土封堵和生态治理，封堵面积3800m2(人工清理危岩、钢筋混凝土结构、墙面喷刷真石漆、砌筑砖围墙、种植土回填等)，生态绿化面积2579m(栽植白榆、侧柏、圆柏、暴马丁香、榆叶梅、卫矛球、金叶榆球、爬山虎、爬地柏等)，具体内容详见清单。</w:t>
      </w:r>
    </w:p>
    <w:p w14:paraId="2D91D128">
      <w:pPr>
        <w:pageBreakBefore w:val="0"/>
        <w:widowControl w:val="0"/>
        <w:kinsoku/>
        <w:wordWrap/>
        <w:overflowPunct/>
        <w:topLinePunct w:val="0"/>
        <w:autoSpaceDE/>
        <w:bidi w:val="0"/>
        <w:spacing w:line="420" w:lineRule="auto"/>
        <w:ind w:firstLine="482" w:firstLineChars="200"/>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4.项目总投资：2976200.00</w:t>
      </w:r>
      <w:r>
        <w:rPr>
          <w:rFonts w:hint="eastAsia" w:ascii="宋体" w:hAnsi="宋体" w:eastAsia="宋体" w:cs="宋体"/>
          <w:sz w:val="24"/>
          <w:szCs w:val="24"/>
          <w:lang w:val="en-US" w:eastAsia="zh-CN"/>
        </w:rPr>
        <w:t>元。</w:t>
      </w:r>
    </w:p>
    <w:p w14:paraId="73410D5D">
      <w:pPr>
        <w:pageBreakBefore w:val="0"/>
        <w:widowControl w:val="0"/>
        <w:kinsoku/>
        <w:wordWrap/>
        <w:overflowPunct/>
        <w:topLinePunct w:val="0"/>
        <w:autoSpaceDE/>
        <w:bidi w:val="0"/>
        <w:spacing w:line="420" w:lineRule="auto"/>
        <w:textAlignment w:val="baseline"/>
        <w:rPr>
          <w:rFonts w:hint="eastAsia" w:ascii="宋体" w:hAnsi="宋体" w:eastAsia="宋体" w:cs="宋体"/>
          <w:b/>
          <w:bCs/>
          <w:sz w:val="24"/>
          <w:szCs w:val="24"/>
        </w:rPr>
      </w:pPr>
      <w:r>
        <w:rPr>
          <w:rFonts w:hint="eastAsia" w:ascii="宋体" w:hAnsi="宋体" w:eastAsia="宋体" w:cs="宋体"/>
          <w:b/>
          <w:bCs/>
          <w:sz w:val="24"/>
          <w:szCs w:val="24"/>
        </w:rPr>
        <w:t>四、合同模板：</w:t>
      </w:r>
    </w:p>
    <w:p w14:paraId="0350489E">
      <w:pPr>
        <w:pageBreakBefore w:val="0"/>
        <w:widowControl w:val="0"/>
        <w:kinsoku/>
        <w:wordWrap/>
        <w:overflowPunct/>
        <w:topLinePunct w:val="0"/>
        <w:autoSpaceDE/>
        <w:autoSpaceDN w:val="0"/>
        <w:bidi w:val="0"/>
        <w:adjustRightInd w:val="0"/>
        <w:snapToGrid w:val="0"/>
        <w:spacing w:line="420" w:lineRule="auto"/>
        <w:ind w:firstLine="2108" w:firstLineChars="1000"/>
        <w:jc w:val="left"/>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沿黄路东山村废弃矿洞封堵与绿化工程采购合同</w:t>
      </w:r>
    </w:p>
    <w:p w14:paraId="0746AD1A">
      <w:pPr>
        <w:pageBreakBefore w:val="0"/>
        <w:widowControl w:val="0"/>
        <w:kinsoku/>
        <w:wordWrap/>
        <w:overflowPunct/>
        <w:topLinePunct w:val="0"/>
        <w:autoSpaceDE/>
        <w:autoSpaceDN w:val="0"/>
        <w:bidi w:val="0"/>
        <w:adjustRightInd w:val="0"/>
        <w:snapToGrid w:val="0"/>
        <w:spacing w:line="420" w:lineRule="auto"/>
        <w:ind w:firstLine="420" w:firstLineChars="200"/>
        <w:jc w:val="left"/>
        <w:rPr>
          <w:rFonts w:hint="eastAsia" w:ascii="宋体" w:hAnsi="宋体" w:eastAsia="宋体" w:cs="宋体"/>
          <w:snapToGrid w:val="0"/>
          <w:color w:val="auto"/>
          <w:kern w:val="0"/>
          <w:sz w:val="21"/>
          <w:szCs w:val="21"/>
          <w:lang w:eastAsia="zh-Hans"/>
        </w:rPr>
      </w:pPr>
      <w:r>
        <w:rPr>
          <w:rFonts w:hint="eastAsia" w:ascii="宋体" w:hAnsi="宋体" w:eastAsia="宋体" w:cs="宋体"/>
          <w:snapToGrid w:val="0"/>
          <w:color w:val="auto"/>
          <w:kern w:val="0"/>
          <w:sz w:val="21"/>
          <w:szCs w:val="21"/>
          <w:lang w:eastAsia="zh-Hans"/>
        </w:rPr>
        <w:t>甲方（</w:t>
      </w:r>
      <w:r>
        <w:rPr>
          <w:rFonts w:hint="eastAsia" w:ascii="宋体" w:hAnsi="宋体" w:eastAsia="宋体" w:cs="宋体"/>
          <w:snapToGrid w:val="0"/>
          <w:color w:val="auto"/>
          <w:kern w:val="0"/>
          <w:sz w:val="21"/>
          <w:szCs w:val="21"/>
        </w:rPr>
        <w:t>采购人</w:t>
      </w:r>
      <w:r>
        <w:rPr>
          <w:rFonts w:hint="eastAsia" w:ascii="宋体" w:hAnsi="宋体" w:eastAsia="宋体" w:cs="宋体"/>
          <w:snapToGrid w:val="0"/>
          <w:color w:val="auto"/>
          <w:kern w:val="0"/>
          <w:sz w:val="21"/>
          <w:szCs w:val="21"/>
          <w:lang w:eastAsia="zh-Hans"/>
        </w:rPr>
        <w:t>）：</w:t>
      </w:r>
      <w:r>
        <w:rPr>
          <w:rFonts w:hint="eastAsia" w:ascii="宋体" w:hAnsi="宋体" w:eastAsia="宋体" w:cs="宋体"/>
          <w:snapToGrid w:val="0"/>
          <w:color w:val="auto"/>
          <w:kern w:val="0"/>
          <w:sz w:val="21"/>
          <w:szCs w:val="21"/>
        </w:rPr>
        <w:t xml:space="preserve">                                      </w:t>
      </w:r>
    </w:p>
    <w:p w14:paraId="2279D80F">
      <w:pPr>
        <w:pageBreakBefore w:val="0"/>
        <w:widowControl w:val="0"/>
        <w:kinsoku/>
        <w:wordWrap/>
        <w:overflowPunct/>
        <w:topLinePunct w:val="0"/>
        <w:autoSpaceDE/>
        <w:autoSpaceDN w:val="0"/>
        <w:bidi w:val="0"/>
        <w:adjustRightInd w:val="0"/>
        <w:snapToGrid w:val="0"/>
        <w:spacing w:line="420" w:lineRule="auto"/>
        <w:ind w:firstLine="420" w:firstLineChars="200"/>
        <w:jc w:val="left"/>
        <w:rPr>
          <w:rFonts w:hint="eastAsia" w:ascii="宋体" w:hAnsi="宋体" w:eastAsia="宋体" w:cs="宋体"/>
          <w:snapToGrid w:val="0"/>
          <w:color w:val="auto"/>
          <w:kern w:val="0"/>
          <w:sz w:val="21"/>
          <w:szCs w:val="21"/>
          <w:lang w:eastAsia="zh-Hans"/>
        </w:rPr>
      </w:pPr>
      <w:r>
        <w:rPr>
          <w:rFonts w:hint="eastAsia" w:ascii="宋体" w:hAnsi="宋体" w:eastAsia="宋体" w:cs="宋体"/>
          <w:snapToGrid w:val="0"/>
          <w:color w:val="auto"/>
          <w:kern w:val="0"/>
          <w:sz w:val="21"/>
          <w:szCs w:val="21"/>
          <w:lang w:eastAsia="zh-Hans"/>
        </w:rPr>
        <w:t>乙方（</w:t>
      </w:r>
      <w:r>
        <w:rPr>
          <w:rFonts w:hint="eastAsia" w:ascii="宋体" w:hAnsi="宋体" w:eastAsia="宋体" w:cs="宋体"/>
          <w:snapToGrid w:val="0"/>
          <w:color w:val="auto"/>
          <w:kern w:val="0"/>
          <w:sz w:val="21"/>
          <w:szCs w:val="21"/>
        </w:rPr>
        <w:t>中标人</w:t>
      </w:r>
      <w:r>
        <w:rPr>
          <w:rFonts w:hint="eastAsia" w:ascii="宋体" w:hAnsi="宋体" w:eastAsia="宋体" w:cs="宋体"/>
          <w:snapToGrid w:val="0"/>
          <w:color w:val="auto"/>
          <w:kern w:val="0"/>
          <w:sz w:val="21"/>
          <w:szCs w:val="21"/>
          <w:lang w:eastAsia="zh-Hans"/>
        </w:rPr>
        <w:t>）：</w:t>
      </w:r>
      <w:r>
        <w:rPr>
          <w:rFonts w:hint="eastAsia" w:ascii="宋体" w:hAnsi="宋体" w:eastAsia="宋体" w:cs="宋体"/>
          <w:snapToGrid w:val="0"/>
          <w:color w:val="auto"/>
          <w:kern w:val="0"/>
          <w:sz w:val="21"/>
          <w:szCs w:val="21"/>
        </w:rPr>
        <w:t xml:space="preserve"> </w:t>
      </w:r>
      <w:r>
        <w:rPr>
          <w:rFonts w:hint="eastAsia" w:ascii="宋体" w:hAnsi="宋体" w:eastAsia="宋体" w:cs="宋体"/>
          <w:snapToGrid w:val="0"/>
          <w:color w:val="auto"/>
          <w:kern w:val="0"/>
          <w:sz w:val="21"/>
          <w:szCs w:val="21"/>
          <w:lang w:eastAsia="zh-Hans"/>
        </w:rPr>
        <w:t xml:space="preserve">             </w:t>
      </w:r>
      <w:r>
        <w:rPr>
          <w:rFonts w:hint="eastAsia" w:ascii="宋体" w:hAnsi="宋体" w:eastAsia="宋体" w:cs="宋体"/>
          <w:snapToGrid w:val="0"/>
          <w:color w:val="auto"/>
          <w:kern w:val="0"/>
          <w:sz w:val="21"/>
          <w:szCs w:val="21"/>
        </w:rPr>
        <w:t xml:space="preserve">                        </w:t>
      </w:r>
    </w:p>
    <w:p w14:paraId="3F5825AC">
      <w:pPr>
        <w:pageBreakBefore w:val="0"/>
        <w:widowControl w:val="0"/>
        <w:numPr>
          <w:ilvl w:val="0"/>
          <w:numId w:val="0"/>
        </w:numPr>
        <w:kinsoku/>
        <w:wordWrap/>
        <w:overflowPunct/>
        <w:topLinePunct w:val="0"/>
        <w:autoSpaceDE/>
        <w:autoSpaceDN/>
        <w:bidi w:val="0"/>
        <w:adjustRightInd/>
        <w:snapToGrid/>
        <w:spacing w:line="420" w:lineRule="auto"/>
        <w:ind w:firstLine="420" w:firstLineChars="200"/>
        <w:jc w:val="both"/>
        <w:textAlignment w:val="auto"/>
        <w:rPr>
          <w:rFonts w:hint="eastAsia" w:ascii="宋体" w:hAnsi="宋体" w:eastAsia="宋体" w:cs="宋体"/>
          <w:b/>
          <w:snapToGrid w:val="0"/>
          <w:color w:val="auto"/>
          <w:kern w:val="0"/>
          <w:sz w:val="21"/>
          <w:szCs w:val="21"/>
        </w:rPr>
      </w:pPr>
      <w:r>
        <w:rPr>
          <w:rFonts w:hint="eastAsia" w:ascii="宋体" w:hAnsi="宋体" w:eastAsia="宋体" w:cs="宋体"/>
          <w:snapToGrid w:val="0"/>
          <w:color w:val="auto"/>
          <w:kern w:val="0"/>
          <w:sz w:val="21"/>
          <w:szCs w:val="21"/>
        </w:rPr>
        <w:t>根据《中华人民共和国政府采购法》、《中华人民共和国</w:t>
      </w:r>
      <w:r>
        <w:rPr>
          <w:rFonts w:hint="eastAsia" w:ascii="宋体" w:hAnsi="宋体" w:eastAsia="宋体" w:cs="宋体"/>
          <w:snapToGrid w:val="0"/>
          <w:color w:val="auto"/>
          <w:kern w:val="0"/>
          <w:sz w:val="21"/>
          <w:szCs w:val="21"/>
          <w:lang w:val="en-US" w:eastAsia="zh-CN"/>
        </w:rPr>
        <w:t>民法典</w:t>
      </w:r>
      <w:r>
        <w:rPr>
          <w:rFonts w:hint="eastAsia" w:ascii="宋体" w:hAnsi="宋体" w:eastAsia="宋体" w:cs="宋体"/>
          <w:snapToGrid w:val="0"/>
          <w:color w:val="auto"/>
          <w:kern w:val="0"/>
          <w:sz w:val="21"/>
          <w:szCs w:val="21"/>
        </w:rPr>
        <w:t>》等相关法律，甲、乙双方经平等协商一致，就“</w:t>
      </w:r>
      <w:r>
        <w:rPr>
          <w:rFonts w:hint="eastAsia" w:ascii="宋体" w:hAnsi="宋体" w:eastAsia="宋体" w:cs="宋体"/>
          <w:sz w:val="21"/>
          <w:szCs w:val="21"/>
          <w:lang w:val="en-US" w:eastAsia="zh-CN"/>
        </w:rPr>
        <w:t>沿黄路东山村废弃矿洞封堵与绿化工程</w:t>
      </w:r>
      <w:r>
        <w:rPr>
          <w:rFonts w:hint="eastAsia" w:ascii="宋体" w:hAnsi="宋体" w:eastAsia="宋体" w:cs="宋体"/>
          <w:snapToGrid w:val="0"/>
          <w:color w:val="auto"/>
          <w:kern w:val="0"/>
          <w:sz w:val="21"/>
          <w:szCs w:val="21"/>
        </w:rPr>
        <w:t xml:space="preserve">”承办达成合同如下：                       </w:t>
      </w:r>
    </w:p>
    <w:p w14:paraId="23E41AEB">
      <w:pPr>
        <w:pageBreakBefore w:val="0"/>
        <w:widowControl w:val="0"/>
        <w:kinsoku/>
        <w:wordWrap/>
        <w:overflowPunct/>
        <w:topLinePunct w:val="0"/>
        <w:autoSpaceDE/>
        <w:bidi w:val="0"/>
        <w:adjustRightInd w:val="0"/>
        <w:snapToGrid w:val="0"/>
        <w:spacing w:line="420" w:lineRule="auto"/>
        <w:ind w:firstLine="422" w:firstLineChars="200"/>
        <w:rPr>
          <w:rFonts w:hint="eastAsia" w:ascii="宋体" w:hAnsi="宋体" w:eastAsia="宋体" w:cs="宋体"/>
          <w:b/>
          <w:color w:val="auto"/>
          <w:sz w:val="21"/>
          <w:szCs w:val="21"/>
        </w:rPr>
      </w:pPr>
      <w:r>
        <w:rPr>
          <w:rFonts w:hint="eastAsia" w:ascii="宋体" w:hAnsi="宋体" w:eastAsia="宋体" w:cs="宋体"/>
          <w:b/>
          <w:color w:val="auto"/>
          <w:sz w:val="21"/>
          <w:szCs w:val="21"/>
          <w:lang w:eastAsia="zh-CN"/>
        </w:rPr>
        <w:t>（</w:t>
      </w:r>
      <w:r>
        <w:rPr>
          <w:rFonts w:hint="eastAsia" w:ascii="宋体" w:hAnsi="宋体" w:eastAsia="宋体" w:cs="宋体"/>
          <w:b/>
          <w:color w:val="auto"/>
          <w:sz w:val="21"/>
          <w:szCs w:val="21"/>
        </w:rPr>
        <w:t>一</w:t>
      </w:r>
      <w:r>
        <w:rPr>
          <w:rFonts w:hint="eastAsia" w:ascii="宋体" w:hAnsi="宋体" w:eastAsia="宋体" w:cs="宋体"/>
          <w:b/>
          <w:color w:val="auto"/>
          <w:sz w:val="21"/>
          <w:szCs w:val="21"/>
          <w:lang w:eastAsia="zh-CN"/>
        </w:rPr>
        <w:t>）</w:t>
      </w:r>
      <w:r>
        <w:rPr>
          <w:rFonts w:hint="eastAsia" w:ascii="宋体" w:hAnsi="宋体" w:eastAsia="宋体" w:cs="宋体"/>
          <w:b/>
          <w:color w:val="auto"/>
          <w:sz w:val="21"/>
          <w:szCs w:val="21"/>
        </w:rPr>
        <w:t>、合同文件</w:t>
      </w:r>
    </w:p>
    <w:p w14:paraId="6D1A2EF5">
      <w:pPr>
        <w:pageBreakBefore w:val="0"/>
        <w:widowControl w:val="0"/>
        <w:kinsoku/>
        <w:wordWrap/>
        <w:overflowPunct/>
        <w:topLinePunct w:val="0"/>
        <w:autoSpaceDE/>
        <w:bidi w:val="0"/>
        <w:adjustRightInd w:val="0"/>
        <w:snapToGrid w:val="0"/>
        <w:spacing w:line="42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本合同所附下列文件是构成本合同不可分割的部分，组成合同的各项文件应互相解释，互为说明，解释合同文件的优先顺序如下：</w:t>
      </w:r>
    </w:p>
    <w:p w14:paraId="67C68D28">
      <w:pPr>
        <w:pageBreakBefore w:val="0"/>
        <w:widowControl w:val="0"/>
        <w:kinsoku/>
        <w:wordWrap/>
        <w:overflowPunct/>
        <w:topLinePunct w:val="0"/>
        <w:autoSpaceDE/>
        <w:bidi w:val="0"/>
        <w:adjustRightInd w:val="0"/>
        <w:snapToGrid w:val="0"/>
        <w:spacing w:line="42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 合同条款</w:t>
      </w:r>
    </w:p>
    <w:p w14:paraId="5B6D7E36">
      <w:pPr>
        <w:pageBreakBefore w:val="0"/>
        <w:widowControl w:val="0"/>
        <w:kinsoku/>
        <w:wordWrap/>
        <w:overflowPunct/>
        <w:topLinePunct w:val="0"/>
        <w:autoSpaceDE/>
        <w:bidi w:val="0"/>
        <w:adjustRightInd w:val="0"/>
        <w:snapToGrid w:val="0"/>
        <w:spacing w:line="42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 xml:space="preserve">2. </w:t>
      </w:r>
      <w:r>
        <w:rPr>
          <w:rFonts w:hint="eastAsia" w:ascii="宋体" w:hAnsi="宋体" w:eastAsia="宋体" w:cs="宋体"/>
          <w:color w:val="auto"/>
          <w:sz w:val="21"/>
          <w:szCs w:val="21"/>
          <w:lang w:eastAsia="zh-CN"/>
        </w:rPr>
        <w:t>成交</w:t>
      </w:r>
      <w:r>
        <w:rPr>
          <w:rFonts w:hint="eastAsia" w:ascii="宋体" w:hAnsi="宋体" w:eastAsia="宋体" w:cs="宋体"/>
          <w:color w:val="auto"/>
          <w:sz w:val="21"/>
          <w:szCs w:val="21"/>
        </w:rPr>
        <w:t>通知书</w:t>
      </w:r>
    </w:p>
    <w:p w14:paraId="304741B3">
      <w:pPr>
        <w:pageBreakBefore w:val="0"/>
        <w:widowControl w:val="0"/>
        <w:kinsoku/>
        <w:wordWrap/>
        <w:overflowPunct/>
        <w:topLinePunct w:val="0"/>
        <w:autoSpaceDE/>
        <w:bidi w:val="0"/>
        <w:adjustRightInd w:val="0"/>
        <w:snapToGrid w:val="0"/>
        <w:spacing w:line="42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 xml:space="preserve">3. </w:t>
      </w:r>
      <w:r>
        <w:rPr>
          <w:rFonts w:hint="eastAsia" w:ascii="宋体" w:hAnsi="宋体" w:eastAsia="宋体" w:cs="宋体"/>
          <w:color w:val="auto"/>
          <w:sz w:val="21"/>
          <w:szCs w:val="21"/>
          <w:lang w:eastAsia="zh-CN"/>
        </w:rPr>
        <w:t>成交</w:t>
      </w:r>
      <w:r>
        <w:rPr>
          <w:rFonts w:hint="eastAsia" w:ascii="宋体" w:hAnsi="宋体" w:eastAsia="宋体" w:cs="宋体"/>
          <w:color w:val="auto"/>
          <w:sz w:val="21"/>
          <w:szCs w:val="21"/>
        </w:rPr>
        <w:t>人在评标过程中做出的有关澄清、说明、承诺或者补正文件</w:t>
      </w:r>
    </w:p>
    <w:p w14:paraId="78CFD8E5">
      <w:pPr>
        <w:pageBreakBefore w:val="0"/>
        <w:widowControl w:val="0"/>
        <w:kinsoku/>
        <w:wordWrap/>
        <w:overflowPunct/>
        <w:topLinePunct w:val="0"/>
        <w:autoSpaceDE/>
        <w:bidi w:val="0"/>
        <w:adjustRightInd w:val="0"/>
        <w:snapToGrid w:val="0"/>
        <w:spacing w:line="42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 xml:space="preserve">4. </w:t>
      </w:r>
      <w:r>
        <w:rPr>
          <w:rFonts w:hint="eastAsia" w:ascii="宋体" w:hAnsi="宋体" w:eastAsia="宋体" w:cs="宋体"/>
          <w:color w:val="auto"/>
          <w:sz w:val="21"/>
          <w:szCs w:val="21"/>
          <w:lang w:eastAsia="zh-CN"/>
        </w:rPr>
        <w:t>谈判</w:t>
      </w:r>
      <w:r>
        <w:rPr>
          <w:rFonts w:hint="eastAsia" w:ascii="宋体" w:hAnsi="宋体" w:eastAsia="宋体" w:cs="宋体"/>
          <w:color w:val="auto"/>
          <w:sz w:val="21"/>
          <w:szCs w:val="21"/>
        </w:rPr>
        <w:t>文件</w:t>
      </w:r>
    </w:p>
    <w:p w14:paraId="00EDBD44">
      <w:pPr>
        <w:pageBreakBefore w:val="0"/>
        <w:widowControl w:val="0"/>
        <w:kinsoku/>
        <w:wordWrap/>
        <w:overflowPunct/>
        <w:topLinePunct w:val="0"/>
        <w:autoSpaceDE/>
        <w:bidi w:val="0"/>
        <w:adjustRightInd w:val="0"/>
        <w:snapToGrid w:val="0"/>
        <w:spacing w:line="42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 xml:space="preserve">5. </w:t>
      </w:r>
      <w:r>
        <w:rPr>
          <w:rFonts w:hint="eastAsia" w:ascii="宋体" w:hAnsi="宋体" w:eastAsia="宋体" w:cs="宋体"/>
          <w:color w:val="auto"/>
          <w:sz w:val="21"/>
          <w:szCs w:val="21"/>
          <w:lang w:eastAsia="zh-CN"/>
        </w:rPr>
        <w:t>成交</w:t>
      </w:r>
      <w:r>
        <w:rPr>
          <w:rFonts w:hint="eastAsia" w:ascii="宋体" w:hAnsi="宋体" w:eastAsia="宋体" w:cs="宋体"/>
          <w:color w:val="auto"/>
          <w:sz w:val="21"/>
          <w:szCs w:val="21"/>
        </w:rPr>
        <w:t>人的</w:t>
      </w:r>
      <w:r>
        <w:rPr>
          <w:rFonts w:hint="eastAsia" w:ascii="宋体" w:hAnsi="宋体" w:eastAsia="宋体" w:cs="宋体"/>
          <w:color w:val="auto"/>
          <w:sz w:val="21"/>
          <w:szCs w:val="21"/>
          <w:lang w:eastAsia="zh-CN"/>
        </w:rPr>
        <w:t>响应</w:t>
      </w:r>
      <w:r>
        <w:rPr>
          <w:rFonts w:hint="eastAsia" w:ascii="宋体" w:hAnsi="宋体" w:eastAsia="宋体" w:cs="宋体"/>
          <w:color w:val="auto"/>
          <w:sz w:val="21"/>
          <w:szCs w:val="21"/>
        </w:rPr>
        <w:t>文件</w:t>
      </w:r>
    </w:p>
    <w:p w14:paraId="7A3A3D0E">
      <w:pPr>
        <w:pageBreakBefore w:val="0"/>
        <w:widowControl w:val="0"/>
        <w:kinsoku/>
        <w:wordWrap/>
        <w:overflowPunct/>
        <w:topLinePunct w:val="0"/>
        <w:autoSpaceDE/>
        <w:bidi w:val="0"/>
        <w:adjustRightInd w:val="0"/>
        <w:snapToGrid w:val="0"/>
        <w:spacing w:line="42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6. 本合同附件</w:t>
      </w:r>
    </w:p>
    <w:p w14:paraId="7791D7A8">
      <w:pPr>
        <w:pageBreakBefore w:val="0"/>
        <w:widowControl w:val="0"/>
        <w:kinsoku/>
        <w:wordWrap/>
        <w:overflowPunct/>
        <w:topLinePunct w:val="0"/>
        <w:autoSpaceDE/>
        <w:bidi w:val="0"/>
        <w:adjustRightInd w:val="0"/>
        <w:snapToGrid w:val="0"/>
        <w:spacing w:line="42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同一层次的合同文件规定有矛盾的以较后时间制定的为准。</w:t>
      </w:r>
    </w:p>
    <w:p w14:paraId="3DFE60F0">
      <w:pPr>
        <w:pageBreakBefore w:val="0"/>
        <w:widowControl w:val="0"/>
        <w:kinsoku/>
        <w:wordWrap/>
        <w:overflowPunct/>
        <w:topLinePunct w:val="0"/>
        <w:autoSpaceDE/>
        <w:bidi w:val="0"/>
        <w:adjustRightInd w:val="0"/>
        <w:snapToGrid w:val="0"/>
        <w:spacing w:line="420" w:lineRule="auto"/>
        <w:ind w:firstLine="422" w:firstLineChars="200"/>
        <w:rPr>
          <w:rFonts w:hint="eastAsia" w:ascii="宋体" w:hAnsi="宋体" w:eastAsia="宋体" w:cs="宋体"/>
          <w:b/>
          <w:color w:val="auto"/>
          <w:sz w:val="21"/>
          <w:szCs w:val="21"/>
        </w:rPr>
      </w:pPr>
      <w:r>
        <w:rPr>
          <w:rFonts w:hint="eastAsia" w:ascii="宋体" w:hAnsi="宋体" w:eastAsia="宋体" w:cs="宋体"/>
          <w:b/>
          <w:color w:val="auto"/>
          <w:sz w:val="21"/>
          <w:szCs w:val="21"/>
          <w:lang w:eastAsia="zh-CN"/>
        </w:rPr>
        <w:t>（</w:t>
      </w:r>
      <w:r>
        <w:rPr>
          <w:rFonts w:hint="eastAsia" w:ascii="宋体" w:hAnsi="宋体" w:eastAsia="宋体" w:cs="宋体"/>
          <w:b/>
          <w:color w:val="auto"/>
          <w:sz w:val="21"/>
          <w:szCs w:val="21"/>
          <w:lang w:val="en-US" w:eastAsia="zh-CN"/>
        </w:rPr>
        <w:t>二</w:t>
      </w:r>
      <w:r>
        <w:rPr>
          <w:rFonts w:hint="eastAsia" w:ascii="宋体" w:hAnsi="宋体" w:eastAsia="宋体" w:cs="宋体"/>
          <w:b/>
          <w:color w:val="auto"/>
          <w:sz w:val="21"/>
          <w:szCs w:val="21"/>
          <w:lang w:eastAsia="zh-CN"/>
        </w:rPr>
        <w:t>）</w:t>
      </w:r>
      <w:r>
        <w:rPr>
          <w:rFonts w:hint="eastAsia" w:ascii="宋体" w:hAnsi="宋体" w:eastAsia="宋体" w:cs="宋体"/>
          <w:b/>
          <w:color w:val="auto"/>
          <w:sz w:val="21"/>
          <w:szCs w:val="21"/>
        </w:rPr>
        <w:t>、合同的范围和条件</w:t>
      </w:r>
    </w:p>
    <w:p w14:paraId="1B37E870">
      <w:pPr>
        <w:pageBreakBefore w:val="0"/>
        <w:widowControl w:val="0"/>
        <w:kinsoku/>
        <w:wordWrap/>
        <w:overflowPunct/>
        <w:topLinePunct w:val="0"/>
        <w:autoSpaceDE/>
        <w:bidi w:val="0"/>
        <w:adjustRightInd w:val="0"/>
        <w:snapToGrid w:val="0"/>
        <w:spacing w:line="42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本合同的范围和条件应与上述合同文件的规定相一致。</w:t>
      </w:r>
    </w:p>
    <w:p w14:paraId="5F56F1C1">
      <w:pPr>
        <w:pageBreakBefore w:val="0"/>
        <w:widowControl w:val="0"/>
        <w:kinsoku/>
        <w:wordWrap/>
        <w:overflowPunct/>
        <w:topLinePunct w:val="0"/>
        <w:autoSpaceDE/>
        <w:bidi w:val="0"/>
        <w:adjustRightInd w:val="0"/>
        <w:snapToGrid w:val="0"/>
        <w:spacing w:line="420" w:lineRule="auto"/>
        <w:ind w:firstLine="422" w:firstLineChars="200"/>
        <w:rPr>
          <w:rFonts w:hint="eastAsia" w:ascii="宋体" w:hAnsi="宋体" w:eastAsia="宋体" w:cs="宋体"/>
          <w:b/>
          <w:color w:val="auto"/>
          <w:sz w:val="21"/>
          <w:szCs w:val="21"/>
        </w:rPr>
      </w:pPr>
      <w:r>
        <w:rPr>
          <w:rFonts w:hint="eastAsia" w:ascii="宋体" w:hAnsi="宋体" w:eastAsia="宋体" w:cs="宋体"/>
          <w:b/>
          <w:color w:val="auto"/>
          <w:sz w:val="21"/>
          <w:szCs w:val="21"/>
          <w:lang w:eastAsia="zh-CN"/>
        </w:rPr>
        <w:t>（</w:t>
      </w:r>
      <w:r>
        <w:rPr>
          <w:rFonts w:hint="eastAsia" w:ascii="宋体" w:hAnsi="宋体" w:eastAsia="宋体" w:cs="宋体"/>
          <w:b/>
          <w:color w:val="auto"/>
          <w:sz w:val="21"/>
          <w:szCs w:val="21"/>
          <w:lang w:val="en-US" w:eastAsia="zh-CN"/>
        </w:rPr>
        <w:t>三</w:t>
      </w:r>
      <w:r>
        <w:rPr>
          <w:rFonts w:hint="eastAsia" w:ascii="宋体" w:hAnsi="宋体" w:eastAsia="宋体" w:cs="宋体"/>
          <w:b/>
          <w:color w:val="auto"/>
          <w:sz w:val="21"/>
          <w:szCs w:val="21"/>
          <w:lang w:eastAsia="zh-CN"/>
        </w:rPr>
        <w:t>）</w:t>
      </w:r>
      <w:r>
        <w:rPr>
          <w:rFonts w:hint="eastAsia" w:ascii="宋体" w:hAnsi="宋体" w:eastAsia="宋体" w:cs="宋体"/>
          <w:b/>
          <w:color w:val="auto"/>
          <w:sz w:val="21"/>
          <w:szCs w:val="21"/>
        </w:rPr>
        <w:t>、</w:t>
      </w:r>
      <w:r>
        <w:rPr>
          <w:rFonts w:hint="eastAsia" w:ascii="宋体" w:hAnsi="宋体" w:eastAsia="宋体" w:cs="宋体"/>
          <w:b/>
          <w:color w:val="auto"/>
          <w:sz w:val="21"/>
          <w:szCs w:val="21"/>
          <w:lang w:eastAsia="zh-CN"/>
        </w:rPr>
        <w:t>工程</w:t>
      </w:r>
      <w:r>
        <w:rPr>
          <w:rFonts w:hint="eastAsia" w:ascii="宋体" w:hAnsi="宋体" w:eastAsia="宋体" w:cs="宋体"/>
          <w:b/>
          <w:color w:val="auto"/>
          <w:sz w:val="21"/>
          <w:szCs w:val="21"/>
        </w:rPr>
        <w:t>项目</w:t>
      </w:r>
    </w:p>
    <w:p w14:paraId="21B65765">
      <w:pPr>
        <w:pageBreakBefore w:val="0"/>
        <w:widowControl w:val="0"/>
        <w:kinsoku/>
        <w:wordWrap/>
        <w:overflowPunct/>
        <w:topLinePunct w:val="0"/>
        <w:autoSpaceDE/>
        <w:bidi w:val="0"/>
        <w:adjustRightInd w:val="0"/>
        <w:snapToGrid w:val="0"/>
        <w:spacing w:line="42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本合同所提供的</w:t>
      </w:r>
      <w:r>
        <w:rPr>
          <w:rFonts w:hint="eastAsia" w:ascii="宋体" w:hAnsi="宋体" w:eastAsia="宋体" w:cs="宋体"/>
          <w:color w:val="auto"/>
          <w:sz w:val="21"/>
          <w:szCs w:val="21"/>
          <w:lang w:eastAsia="zh-CN"/>
        </w:rPr>
        <w:t>工程</w:t>
      </w:r>
      <w:r>
        <w:rPr>
          <w:rFonts w:hint="eastAsia" w:ascii="宋体" w:hAnsi="宋体" w:eastAsia="宋体" w:cs="宋体"/>
          <w:color w:val="auto"/>
          <w:sz w:val="21"/>
          <w:szCs w:val="21"/>
        </w:rPr>
        <w:t>项目内容：（与</w:t>
      </w:r>
      <w:r>
        <w:rPr>
          <w:rFonts w:hint="eastAsia" w:ascii="宋体" w:hAnsi="宋体" w:eastAsia="宋体" w:cs="宋体"/>
          <w:color w:val="auto"/>
          <w:sz w:val="21"/>
          <w:szCs w:val="21"/>
          <w:lang w:eastAsia="zh-CN"/>
        </w:rPr>
        <w:t>响应</w:t>
      </w:r>
      <w:r>
        <w:rPr>
          <w:rFonts w:hint="eastAsia" w:ascii="宋体" w:hAnsi="宋体" w:eastAsia="宋体" w:cs="宋体"/>
          <w:color w:val="auto"/>
          <w:sz w:val="21"/>
          <w:szCs w:val="21"/>
        </w:rPr>
        <w:t>文件中</w:t>
      </w:r>
      <w:r>
        <w:rPr>
          <w:rFonts w:hint="eastAsia" w:ascii="宋体" w:hAnsi="宋体" w:eastAsia="宋体" w:cs="宋体"/>
          <w:color w:val="auto"/>
          <w:sz w:val="21"/>
          <w:szCs w:val="21"/>
          <w:lang w:eastAsia="zh-CN"/>
        </w:rPr>
        <w:t>工程</w:t>
      </w:r>
      <w:r>
        <w:rPr>
          <w:rFonts w:hint="eastAsia" w:ascii="宋体" w:hAnsi="宋体" w:eastAsia="宋体" w:cs="宋体"/>
          <w:color w:val="auto"/>
          <w:sz w:val="21"/>
          <w:szCs w:val="21"/>
        </w:rPr>
        <w:t>明细表一致）。</w:t>
      </w:r>
    </w:p>
    <w:p w14:paraId="3EDF73C0">
      <w:pPr>
        <w:pageBreakBefore w:val="0"/>
        <w:widowControl w:val="0"/>
        <w:kinsoku/>
        <w:wordWrap/>
        <w:overflowPunct/>
        <w:topLinePunct w:val="0"/>
        <w:autoSpaceDE/>
        <w:bidi w:val="0"/>
        <w:adjustRightInd w:val="0"/>
        <w:snapToGrid w:val="0"/>
        <w:spacing w:line="420" w:lineRule="auto"/>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 xml:space="preserve">                                                        </w:t>
      </w:r>
    </w:p>
    <w:p w14:paraId="3019A708">
      <w:pPr>
        <w:pageBreakBefore w:val="0"/>
        <w:widowControl w:val="0"/>
        <w:kinsoku/>
        <w:wordWrap/>
        <w:overflowPunct/>
        <w:topLinePunct w:val="0"/>
        <w:autoSpaceDE/>
        <w:bidi w:val="0"/>
        <w:adjustRightInd w:val="0"/>
        <w:snapToGrid w:val="0"/>
        <w:spacing w:line="420" w:lineRule="auto"/>
        <w:ind w:firstLine="422" w:firstLineChars="200"/>
        <w:rPr>
          <w:rFonts w:hint="eastAsia" w:ascii="宋体" w:hAnsi="宋体" w:eastAsia="宋体" w:cs="宋体"/>
          <w:b/>
          <w:color w:val="auto"/>
          <w:sz w:val="21"/>
          <w:szCs w:val="21"/>
        </w:rPr>
      </w:pPr>
      <w:r>
        <w:rPr>
          <w:rFonts w:hint="eastAsia" w:ascii="宋体" w:hAnsi="宋体" w:eastAsia="宋体" w:cs="宋体"/>
          <w:b/>
          <w:color w:val="auto"/>
          <w:sz w:val="21"/>
          <w:szCs w:val="21"/>
          <w:lang w:eastAsia="zh-CN"/>
        </w:rPr>
        <w:t>（</w:t>
      </w:r>
      <w:r>
        <w:rPr>
          <w:rFonts w:hint="eastAsia" w:ascii="宋体" w:hAnsi="宋体" w:eastAsia="宋体" w:cs="宋体"/>
          <w:b/>
          <w:color w:val="auto"/>
          <w:sz w:val="21"/>
          <w:szCs w:val="21"/>
          <w:lang w:val="en-US" w:eastAsia="zh-CN"/>
        </w:rPr>
        <w:t>四</w:t>
      </w:r>
      <w:r>
        <w:rPr>
          <w:rFonts w:hint="eastAsia" w:ascii="宋体" w:hAnsi="宋体" w:eastAsia="宋体" w:cs="宋体"/>
          <w:b/>
          <w:color w:val="auto"/>
          <w:sz w:val="21"/>
          <w:szCs w:val="21"/>
          <w:lang w:eastAsia="zh-CN"/>
        </w:rPr>
        <w:t>）</w:t>
      </w:r>
      <w:r>
        <w:rPr>
          <w:rFonts w:hint="eastAsia" w:ascii="宋体" w:hAnsi="宋体" w:eastAsia="宋体" w:cs="宋体"/>
          <w:b/>
          <w:color w:val="auto"/>
          <w:sz w:val="21"/>
          <w:szCs w:val="21"/>
        </w:rPr>
        <w:t>、合同金额</w:t>
      </w:r>
    </w:p>
    <w:p w14:paraId="194799F2">
      <w:pPr>
        <w:pageBreakBefore w:val="0"/>
        <w:widowControl w:val="0"/>
        <w:kinsoku/>
        <w:wordWrap/>
        <w:overflowPunct/>
        <w:topLinePunct w:val="0"/>
        <w:autoSpaceDE/>
        <w:bidi w:val="0"/>
        <w:adjustRightInd w:val="0"/>
        <w:snapToGrid w:val="0"/>
        <w:spacing w:line="42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合同金额为人民币大写</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元，(￥</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5875E444">
      <w:pPr>
        <w:pageBreakBefore w:val="0"/>
        <w:widowControl w:val="0"/>
        <w:kinsoku/>
        <w:wordWrap/>
        <w:overflowPunct/>
        <w:topLinePunct w:val="0"/>
        <w:autoSpaceDE/>
        <w:bidi w:val="0"/>
        <w:adjustRightInd w:val="0"/>
        <w:snapToGrid w:val="0"/>
        <w:spacing w:line="420" w:lineRule="auto"/>
        <w:ind w:firstLine="422" w:firstLineChars="200"/>
        <w:rPr>
          <w:rFonts w:hint="eastAsia" w:ascii="宋体" w:hAnsi="宋体" w:eastAsia="宋体" w:cs="宋体"/>
          <w:color w:val="auto"/>
          <w:sz w:val="21"/>
          <w:szCs w:val="21"/>
        </w:rPr>
      </w:pPr>
      <w:r>
        <w:rPr>
          <w:rFonts w:hint="eastAsia" w:ascii="宋体" w:hAnsi="宋体" w:eastAsia="宋体" w:cs="宋体"/>
          <w:b/>
          <w:color w:val="auto"/>
          <w:sz w:val="21"/>
          <w:szCs w:val="21"/>
          <w:lang w:eastAsia="zh-CN"/>
        </w:rPr>
        <w:t>（</w:t>
      </w:r>
      <w:r>
        <w:rPr>
          <w:rFonts w:hint="eastAsia" w:ascii="宋体" w:hAnsi="宋体" w:eastAsia="宋体" w:cs="宋体"/>
          <w:b/>
          <w:color w:val="auto"/>
          <w:sz w:val="21"/>
          <w:szCs w:val="21"/>
          <w:lang w:val="en-US" w:eastAsia="zh-CN"/>
        </w:rPr>
        <w:t>五</w:t>
      </w:r>
      <w:r>
        <w:rPr>
          <w:rFonts w:hint="eastAsia" w:ascii="宋体" w:hAnsi="宋体" w:eastAsia="宋体" w:cs="宋体"/>
          <w:b/>
          <w:color w:val="auto"/>
          <w:sz w:val="21"/>
          <w:szCs w:val="21"/>
          <w:lang w:eastAsia="zh-CN"/>
        </w:rPr>
        <w:t>）</w:t>
      </w:r>
      <w:r>
        <w:rPr>
          <w:rFonts w:hint="eastAsia" w:ascii="宋体" w:hAnsi="宋体" w:eastAsia="宋体" w:cs="宋体"/>
          <w:b/>
          <w:color w:val="auto"/>
          <w:sz w:val="21"/>
          <w:szCs w:val="21"/>
        </w:rPr>
        <w:t>、付款途径</w:t>
      </w:r>
      <w:r>
        <w:rPr>
          <w:rFonts w:hint="eastAsia" w:ascii="宋体" w:hAnsi="宋体" w:eastAsia="宋体" w:cs="宋体"/>
          <w:color w:val="auto"/>
          <w:sz w:val="21"/>
          <w:szCs w:val="21"/>
        </w:rPr>
        <w:t>：</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574888CE">
      <w:pPr>
        <w:pageBreakBefore w:val="0"/>
        <w:widowControl w:val="0"/>
        <w:kinsoku/>
        <w:wordWrap/>
        <w:overflowPunct/>
        <w:topLinePunct w:val="0"/>
        <w:autoSpaceDE/>
        <w:bidi w:val="0"/>
        <w:spacing w:line="420" w:lineRule="auto"/>
        <w:ind w:firstLine="422" w:firstLineChars="200"/>
        <w:textAlignment w:val="baseline"/>
        <w:rPr>
          <w:rFonts w:hint="eastAsia" w:ascii="宋体" w:hAnsi="宋体" w:eastAsia="宋体" w:cs="宋体"/>
          <w:color w:val="auto"/>
          <w:sz w:val="21"/>
          <w:szCs w:val="21"/>
        </w:rPr>
      </w:pPr>
      <w:r>
        <w:rPr>
          <w:rFonts w:hint="eastAsia" w:ascii="宋体" w:hAnsi="宋体" w:eastAsia="宋体" w:cs="宋体"/>
          <w:b/>
          <w:color w:val="auto"/>
          <w:sz w:val="21"/>
          <w:szCs w:val="21"/>
          <w:lang w:eastAsia="zh-CN"/>
        </w:rPr>
        <w:t>（</w:t>
      </w:r>
      <w:r>
        <w:rPr>
          <w:rFonts w:hint="eastAsia" w:ascii="宋体" w:hAnsi="宋体" w:eastAsia="宋体" w:cs="宋体"/>
          <w:b/>
          <w:color w:val="auto"/>
          <w:sz w:val="21"/>
          <w:szCs w:val="21"/>
          <w:lang w:val="en-US" w:eastAsia="zh-CN"/>
        </w:rPr>
        <w:t>六</w:t>
      </w:r>
      <w:r>
        <w:rPr>
          <w:rFonts w:hint="eastAsia" w:ascii="宋体" w:hAnsi="宋体" w:eastAsia="宋体" w:cs="宋体"/>
          <w:b/>
          <w:color w:val="auto"/>
          <w:sz w:val="21"/>
          <w:szCs w:val="21"/>
          <w:lang w:eastAsia="zh-CN"/>
        </w:rPr>
        <w:t>）</w:t>
      </w:r>
      <w:r>
        <w:rPr>
          <w:rFonts w:hint="eastAsia" w:ascii="宋体" w:hAnsi="宋体" w:eastAsia="宋体" w:cs="宋体"/>
          <w:b/>
          <w:color w:val="auto"/>
          <w:sz w:val="21"/>
          <w:szCs w:val="21"/>
        </w:rPr>
        <w:t>、付款方式</w:t>
      </w:r>
      <w:r>
        <w:rPr>
          <w:rFonts w:hint="eastAsia" w:ascii="宋体" w:hAnsi="宋体" w:eastAsia="宋体" w:cs="宋体"/>
          <w:color w:val="auto"/>
          <w:sz w:val="21"/>
          <w:szCs w:val="21"/>
        </w:rPr>
        <w:t>：工程款按分项工程进度拨付：废弃矿洞封堵</w:t>
      </w:r>
      <w:r>
        <w:rPr>
          <w:rFonts w:hint="eastAsia" w:ascii="宋体" w:hAnsi="宋体" w:eastAsia="宋体" w:cs="宋体"/>
          <w:color w:val="auto"/>
          <w:sz w:val="21"/>
          <w:szCs w:val="21"/>
          <w:lang w:val="en-US" w:eastAsia="zh-CN"/>
        </w:rPr>
        <w:t>分项</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竣工验收合格后付至该分项合同价款 80%，审计完成后付清剩余 20%；绿化分项，竣工验收合格后付至该分项合同价款 60%，审计完成后付清剩余40%。</w:t>
      </w:r>
    </w:p>
    <w:p w14:paraId="69D6616D">
      <w:pPr>
        <w:pageBreakBefore w:val="0"/>
        <w:widowControl w:val="0"/>
        <w:kinsoku/>
        <w:wordWrap/>
        <w:overflowPunct/>
        <w:topLinePunct w:val="0"/>
        <w:autoSpaceDE/>
        <w:bidi w:val="0"/>
        <w:spacing w:line="420" w:lineRule="auto"/>
        <w:ind w:firstLine="420" w:firstLineChars="200"/>
        <w:textAlignment w:val="baseline"/>
        <w:rPr>
          <w:rFonts w:hint="eastAsia" w:ascii="宋体" w:hAnsi="宋体" w:eastAsia="宋体" w:cs="宋体"/>
          <w:color w:val="0000FF"/>
          <w:sz w:val="21"/>
          <w:szCs w:val="21"/>
          <w:lang w:eastAsia="zh-CN"/>
        </w:rPr>
      </w:pPr>
      <w:r>
        <w:rPr>
          <w:rFonts w:hint="eastAsia" w:ascii="宋体" w:hAnsi="宋体" w:eastAsia="宋体" w:cs="宋体"/>
          <w:color w:val="auto"/>
          <w:sz w:val="21"/>
          <w:szCs w:val="21"/>
        </w:rPr>
        <w:t>根据工程进度拨付工程款，待工程竣工验收合格后</w:t>
      </w:r>
      <w:r>
        <w:rPr>
          <w:rFonts w:hint="eastAsia" w:ascii="宋体" w:hAnsi="宋体" w:eastAsia="宋体" w:cs="宋体"/>
          <w:color w:val="auto"/>
          <w:sz w:val="21"/>
          <w:szCs w:val="21"/>
          <w:lang w:val="en-US" w:eastAsia="zh-CN"/>
        </w:rPr>
        <w:t>废弃矿洞封堵部分付至合同</w:t>
      </w:r>
      <w:r>
        <w:rPr>
          <w:rFonts w:hint="eastAsia" w:ascii="宋体" w:hAnsi="宋体" w:eastAsia="宋体" w:cs="宋体"/>
          <w:color w:val="auto"/>
          <w:sz w:val="21"/>
          <w:szCs w:val="21"/>
        </w:rPr>
        <w:t>总价款的80%，审计完成后付</w:t>
      </w:r>
      <w:r>
        <w:rPr>
          <w:rFonts w:hint="eastAsia" w:ascii="宋体" w:hAnsi="宋体" w:eastAsia="宋体" w:cs="宋体"/>
          <w:color w:val="auto"/>
          <w:sz w:val="21"/>
          <w:szCs w:val="21"/>
          <w:lang w:val="en-US" w:eastAsia="zh-CN"/>
        </w:rPr>
        <w:t>剩余</w:t>
      </w:r>
      <w:r>
        <w:rPr>
          <w:rFonts w:hint="eastAsia" w:ascii="宋体" w:hAnsi="宋体" w:eastAsia="宋体" w:cs="宋体"/>
          <w:color w:val="auto"/>
          <w:sz w:val="21"/>
          <w:szCs w:val="21"/>
        </w:rPr>
        <w:t>工程款的20%</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绿化部分付至合同</w:t>
      </w:r>
      <w:r>
        <w:rPr>
          <w:rFonts w:hint="eastAsia" w:ascii="宋体" w:hAnsi="宋体" w:eastAsia="宋体" w:cs="宋体"/>
          <w:color w:val="auto"/>
          <w:sz w:val="21"/>
          <w:szCs w:val="21"/>
        </w:rPr>
        <w:t>总价款的</w:t>
      </w:r>
      <w:r>
        <w:rPr>
          <w:rFonts w:hint="eastAsia" w:ascii="宋体" w:hAnsi="宋体" w:eastAsia="宋体" w:cs="宋体"/>
          <w:color w:val="auto"/>
          <w:sz w:val="21"/>
          <w:szCs w:val="21"/>
          <w:lang w:val="en-US" w:eastAsia="zh-CN"/>
        </w:rPr>
        <w:t>6</w:t>
      </w:r>
      <w:r>
        <w:rPr>
          <w:rFonts w:hint="eastAsia" w:ascii="宋体" w:hAnsi="宋体" w:eastAsia="宋体" w:cs="宋体"/>
          <w:color w:val="auto"/>
          <w:sz w:val="21"/>
          <w:szCs w:val="21"/>
        </w:rPr>
        <w:t>0%，审计完成后付</w:t>
      </w:r>
      <w:r>
        <w:rPr>
          <w:rFonts w:hint="eastAsia" w:ascii="宋体" w:hAnsi="宋体" w:eastAsia="宋体" w:cs="宋体"/>
          <w:color w:val="auto"/>
          <w:sz w:val="21"/>
          <w:szCs w:val="21"/>
          <w:lang w:val="en-US" w:eastAsia="zh-CN"/>
        </w:rPr>
        <w:t>剩余</w:t>
      </w:r>
      <w:r>
        <w:rPr>
          <w:rFonts w:hint="eastAsia" w:ascii="宋体" w:hAnsi="宋体" w:eastAsia="宋体" w:cs="宋体"/>
          <w:color w:val="auto"/>
          <w:sz w:val="21"/>
          <w:szCs w:val="21"/>
        </w:rPr>
        <w:t>工程款的</w:t>
      </w: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rPr>
        <w:t>0%</w:t>
      </w:r>
      <w:r>
        <w:rPr>
          <w:rFonts w:hint="eastAsia" w:ascii="宋体" w:hAnsi="宋体" w:eastAsia="宋体" w:cs="宋体"/>
          <w:color w:val="auto"/>
          <w:sz w:val="21"/>
          <w:szCs w:val="21"/>
          <w:lang w:eastAsia="zh-CN"/>
        </w:rPr>
        <w:t>。</w:t>
      </w:r>
    </w:p>
    <w:p w14:paraId="6F1ED7A3">
      <w:pPr>
        <w:pageBreakBefore w:val="0"/>
        <w:widowControl w:val="0"/>
        <w:kinsoku/>
        <w:wordWrap/>
        <w:overflowPunct/>
        <w:topLinePunct w:val="0"/>
        <w:autoSpaceDE/>
        <w:bidi w:val="0"/>
        <w:spacing w:line="420" w:lineRule="auto"/>
        <w:ind w:firstLine="422" w:firstLineChars="200"/>
        <w:rPr>
          <w:rFonts w:hint="eastAsia" w:ascii="宋体" w:hAnsi="宋体" w:eastAsia="宋体" w:cs="宋体"/>
          <w:b/>
          <w:color w:val="auto"/>
          <w:sz w:val="21"/>
          <w:szCs w:val="21"/>
        </w:rPr>
      </w:pPr>
      <w:r>
        <w:rPr>
          <w:rFonts w:hint="eastAsia" w:ascii="宋体" w:hAnsi="宋体" w:eastAsia="宋体" w:cs="宋体"/>
          <w:b/>
          <w:color w:val="auto"/>
          <w:sz w:val="21"/>
          <w:szCs w:val="21"/>
          <w:lang w:eastAsia="zh-CN"/>
        </w:rPr>
        <w:t>（</w:t>
      </w:r>
      <w:r>
        <w:rPr>
          <w:rFonts w:hint="eastAsia" w:ascii="宋体" w:hAnsi="宋体" w:eastAsia="宋体" w:cs="宋体"/>
          <w:b/>
          <w:color w:val="auto"/>
          <w:sz w:val="21"/>
          <w:szCs w:val="21"/>
          <w:lang w:val="en-US" w:eastAsia="zh-CN"/>
        </w:rPr>
        <w:t>七</w:t>
      </w:r>
      <w:r>
        <w:rPr>
          <w:rFonts w:hint="eastAsia" w:ascii="宋体" w:hAnsi="宋体" w:eastAsia="宋体" w:cs="宋体"/>
          <w:b/>
          <w:color w:val="auto"/>
          <w:sz w:val="21"/>
          <w:szCs w:val="21"/>
          <w:lang w:eastAsia="zh-CN"/>
        </w:rPr>
        <w:t>）</w:t>
      </w:r>
      <w:r>
        <w:rPr>
          <w:rFonts w:hint="eastAsia" w:ascii="宋体" w:hAnsi="宋体" w:eastAsia="宋体" w:cs="宋体"/>
          <w:b/>
          <w:color w:val="auto"/>
          <w:sz w:val="21"/>
          <w:szCs w:val="21"/>
        </w:rPr>
        <w:t>、知识产权</w:t>
      </w:r>
    </w:p>
    <w:p w14:paraId="78A6CFC9">
      <w:pPr>
        <w:pageBreakBefore w:val="0"/>
        <w:widowControl w:val="0"/>
        <w:kinsoku/>
        <w:wordWrap/>
        <w:overflowPunct/>
        <w:topLinePunct w:val="0"/>
        <w:autoSpaceDE/>
        <w:bidi w:val="0"/>
        <w:adjustRightInd w:val="0"/>
        <w:snapToGrid w:val="0"/>
        <w:spacing w:line="42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乙方应保证甲方所使用的服务成果免受第三方提出的侵犯其知识产权的诉讼。</w:t>
      </w:r>
    </w:p>
    <w:p w14:paraId="1ED4ECF9">
      <w:pPr>
        <w:pageBreakBefore w:val="0"/>
        <w:widowControl w:val="0"/>
        <w:kinsoku/>
        <w:wordWrap/>
        <w:overflowPunct/>
        <w:topLinePunct w:val="0"/>
        <w:autoSpaceDE/>
        <w:bidi w:val="0"/>
        <w:adjustRightInd w:val="0"/>
        <w:snapToGrid w:val="0"/>
        <w:spacing w:line="420" w:lineRule="auto"/>
        <w:ind w:firstLine="422" w:firstLineChars="200"/>
        <w:rPr>
          <w:rFonts w:hint="eastAsia" w:ascii="宋体" w:hAnsi="宋体" w:eastAsia="宋体" w:cs="宋体"/>
          <w:b/>
          <w:bCs/>
          <w:color w:val="auto"/>
          <w:sz w:val="21"/>
          <w:szCs w:val="21"/>
        </w:rPr>
      </w:pPr>
      <w:bookmarkStart w:id="0" w:name="_Toc223404485"/>
      <w:r>
        <w:rPr>
          <w:rFonts w:hint="eastAsia" w:ascii="宋体" w:hAnsi="宋体" w:eastAsia="宋体" w:cs="宋体"/>
          <w:b/>
          <w:color w:val="auto"/>
          <w:sz w:val="21"/>
          <w:szCs w:val="21"/>
          <w:lang w:eastAsia="zh-CN"/>
        </w:rPr>
        <w:t>（</w:t>
      </w:r>
      <w:r>
        <w:rPr>
          <w:rFonts w:hint="eastAsia" w:ascii="宋体" w:hAnsi="宋体" w:eastAsia="宋体" w:cs="宋体"/>
          <w:b/>
          <w:color w:val="auto"/>
          <w:sz w:val="21"/>
          <w:szCs w:val="21"/>
          <w:lang w:val="en-US" w:eastAsia="zh-CN"/>
        </w:rPr>
        <w:t>八</w:t>
      </w:r>
      <w:r>
        <w:rPr>
          <w:rFonts w:hint="eastAsia" w:ascii="宋体" w:hAnsi="宋体" w:eastAsia="宋体" w:cs="宋体"/>
          <w:b/>
          <w:color w:val="auto"/>
          <w:sz w:val="21"/>
          <w:szCs w:val="21"/>
          <w:lang w:eastAsia="zh-CN"/>
        </w:rPr>
        <w:t>）</w:t>
      </w:r>
      <w:r>
        <w:rPr>
          <w:rFonts w:hint="eastAsia" w:ascii="宋体" w:hAnsi="宋体" w:eastAsia="宋体" w:cs="宋体"/>
          <w:b/>
          <w:bCs/>
          <w:color w:val="auto"/>
          <w:sz w:val="21"/>
          <w:szCs w:val="21"/>
        </w:rPr>
        <w:t>、违约条款</w:t>
      </w:r>
      <w:bookmarkEnd w:id="0"/>
    </w:p>
    <w:p w14:paraId="098FEA80">
      <w:pPr>
        <w:pageBreakBefore w:val="0"/>
        <w:widowControl w:val="0"/>
        <w:kinsoku/>
        <w:wordWrap/>
        <w:overflowPunct/>
        <w:topLinePunct w:val="0"/>
        <w:autoSpaceDE/>
        <w:bidi w:val="0"/>
        <w:adjustRightInd w:val="0"/>
        <w:snapToGrid w:val="0"/>
        <w:spacing w:line="42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 一方不按期履行合同，并经另一方提示后</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日内仍不履行合同的，守约方有权解除合同，违约方要承担相应的法律责任。</w:t>
      </w:r>
    </w:p>
    <w:p w14:paraId="32EC1648">
      <w:pPr>
        <w:pageBreakBefore w:val="0"/>
        <w:widowControl w:val="0"/>
        <w:kinsoku/>
        <w:wordWrap/>
        <w:overflowPunct/>
        <w:topLinePunct w:val="0"/>
        <w:autoSpaceDE/>
        <w:bidi w:val="0"/>
        <w:adjustRightInd w:val="0"/>
        <w:snapToGrid w:val="0"/>
        <w:spacing w:line="42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 如因一方违约，双方未能就赔偿损失达成协议，引起诉讼或仲裁时，违约方除应赔偿对方经济损失外，还应承担因诉讼或仲裁所支付的律师代理费等相关费用。</w:t>
      </w:r>
    </w:p>
    <w:p w14:paraId="088BB082">
      <w:pPr>
        <w:pageBreakBefore w:val="0"/>
        <w:widowControl w:val="0"/>
        <w:kinsoku/>
        <w:wordWrap/>
        <w:overflowPunct/>
        <w:topLinePunct w:val="0"/>
        <w:autoSpaceDE/>
        <w:bidi w:val="0"/>
        <w:adjustRightInd w:val="0"/>
        <w:snapToGrid w:val="0"/>
        <w:spacing w:line="42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 其它应承担的违约责任，以《中华人民共和国</w:t>
      </w:r>
      <w:r>
        <w:rPr>
          <w:rFonts w:hint="eastAsia" w:ascii="宋体" w:hAnsi="宋体" w:eastAsia="宋体" w:cs="宋体"/>
          <w:color w:val="auto"/>
          <w:sz w:val="21"/>
          <w:szCs w:val="21"/>
          <w:lang w:val="en-US" w:eastAsia="zh-CN"/>
        </w:rPr>
        <w:t>民法典</w:t>
      </w:r>
      <w:r>
        <w:rPr>
          <w:rFonts w:hint="eastAsia" w:ascii="宋体" w:hAnsi="宋体" w:eastAsia="宋体" w:cs="宋体"/>
          <w:color w:val="auto"/>
          <w:sz w:val="21"/>
          <w:szCs w:val="21"/>
        </w:rPr>
        <w:t>》和其它有关法律、法规规定为准，无相关规定的，双方协商解决。</w:t>
      </w:r>
    </w:p>
    <w:p w14:paraId="1F678D09">
      <w:pPr>
        <w:pageBreakBefore w:val="0"/>
        <w:widowControl w:val="0"/>
        <w:kinsoku/>
        <w:wordWrap/>
        <w:overflowPunct/>
        <w:topLinePunct w:val="0"/>
        <w:autoSpaceDE/>
        <w:bidi w:val="0"/>
        <w:adjustRightInd w:val="0"/>
        <w:snapToGrid w:val="0"/>
        <w:spacing w:line="42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4. 按照本合同规定应该偿付的违约金、赔偿金等，应当在明确责任后 7 日内，按银行规定或双方商定的结算办法付清，否则按逾期付款处理。</w:t>
      </w:r>
    </w:p>
    <w:p w14:paraId="6DB79C2B">
      <w:pPr>
        <w:keepNext/>
        <w:keepLines/>
        <w:pageBreakBefore w:val="0"/>
        <w:widowControl w:val="0"/>
        <w:kinsoku/>
        <w:wordWrap/>
        <w:overflowPunct/>
        <w:topLinePunct w:val="0"/>
        <w:autoSpaceDE/>
        <w:bidi w:val="0"/>
        <w:spacing w:beforeLines="0" w:beforeAutospacing="0" w:afterLines="0" w:afterAutospacing="0" w:line="420" w:lineRule="auto"/>
        <w:ind w:left="0" w:leftChars="0" w:firstLine="422" w:firstLineChars="200"/>
        <w:jc w:val="both"/>
        <w:outlineLvl w:val="1"/>
        <w:rPr>
          <w:rFonts w:hint="eastAsia" w:ascii="宋体" w:hAnsi="宋体" w:eastAsia="宋体" w:cs="宋体"/>
          <w:color w:val="auto"/>
          <w:kern w:val="2"/>
          <w:sz w:val="21"/>
          <w:szCs w:val="21"/>
          <w:lang w:val="en-US" w:eastAsia="zh-CN" w:bidi="ar-SA"/>
        </w:rPr>
      </w:pPr>
      <w:bookmarkStart w:id="1" w:name="_Toc31057"/>
      <w:bookmarkStart w:id="2" w:name="_Toc56066561"/>
      <w:r>
        <w:rPr>
          <w:rFonts w:hint="eastAsia" w:ascii="宋体" w:hAnsi="宋体" w:eastAsia="宋体" w:cs="宋体"/>
          <w:b/>
          <w:color w:val="auto"/>
          <w:sz w:val="21"/>
          <w:szCs w:val="21"/>
          <w:lang w:eastAsia="zh-CN"/>
        </w:rPr>
        <w:t>（</w:t>
      </w:r>
      <w:r>
        <w:rPr>
          <w:rFonts w:hint="eastAsia" w:ascii="宋体" w:hAnsi="宋体" w:eastAsia="宋体" w:cs="宋体"/>
          <w:b/>
          <w:color w:val="auto"/>
          <w:sz w:val="21"/>
          <w:szCs w:val="21"/>
          <w:lang w:val="en-US" w:eastAsia="zh-CN"/>
        </w:rPr>
        <w:t>九</w:t>
      </w:r>
      <w:r>
        <w:rPr>
          <w:rFonts w:hint="eastAsia" w:ascii="宋体" w:hAnsi="宋体" w:eastAsia="宋体" w:cs="宋体"/>
          <w:b/>
          <w:color w:val="auto"/>
          <w:sz w:val="21"/>
          <w:szCs w:val="21"/>
          <w:lang w:eastAsia="zh-CN"/>
        </w:rPr>
        <w:t>）</w:t>
      </w:r>
      <w:r>
        <w:rPr>
          <w:rFonts w:hint="eastAsia" w:ascii="宋体" w:hAnsi="宋体" w:eastAsia="宋体" w:cs="宋体"/>
          <w:b/>
          <w:bCs/>
          <w:color w:val="auto"/>
          <w:kern w:val="2"/>
          <w:sz w:val="21"/>
          <w:szCs w:val="21"/>
          <w:lang w:val="en-US" w:eastAsia="zh-CN" w:bidi="ar-SA"/>
        </w:rPr>
        <w:t>、履约验收</w:t>
      </w:r>
      <w:bookmarkEnd w:id="1"/>
      <w:bookmarkEnd w:id="2"/>
      <w:r>
        <w:rPr>
          <w:rFonts w:hint="eastAsia" w:ascii="宋体" w:hAnsi="宋体" w:eastAsia="宋体" w:cs="宋体"/>
          <w:b/>
          <w:bCs/>
          <w:color w:val="auto"/>
          <w:kern w:val="2"/>
          <w:sz w:val="21"/>
          <w:szCs w:val="21"/>
          <w:lang w:val="en-US" w:eastAsia="zh-CN" w:bidi="ar-SA"/>
        </w:rPr>
        <w:t>标准和方式</w:t>
      </w:r>
    </w:p>
    <w:p w14:paraId="1F5FE425">
      <w:pPr>
        <w:pageBreakBefore w:val="0"/>
        <w:widowControl w:val="0"/>
        <w:kinsoku/>
        <w:wordWrap/>
        <w:overflowPunct/>
        <w:topLinePunct w:val="0"/>
        <w:autoSpaceDE/>
        <w:bidi w:val="0"/>
        <w:adjustRightInd w:val="0"/>
        <w:snapToGrid w:val="0"/>
        <w:spacing w:line="420" w:lineRule="auto"/>
        <w:ind w:firstLine="420" w:firstLineChars="200"/>
        <w:rPr>
          <w:rFonts w:hint="eastAsia" w:ascii="宋体" w:hAnsi="宋体" w:eastAsia="宋体" w:cs="宋体"/>
          <w:sz w:val="21"/>
          <w:szCs w:val="21"/>
          <w:u w:val="single"/>
          <w:lang w:val="en-US" w:eastAsia="zh-CN"/>
        </w:rPr>
      </w:pPr>
      <w:r>
        <w:rPr>
          <w:rFonts w:hint="eastAsia" w:ascii="宋体" w:hAnsi="宋体" w:eastAsia="宋体" w:cs="宋体"/>
          <w:color w:val="auto"/>
          <w:sz w:val="21"/>
          <w:szCs w:val="21"/>
          <w:lang w:val="en-US" w:eastAsia="zh-CN"/>
        </w:rPr>
        <w:t>1.履约验收时间：</w:t>
      </w:r>
      <w:r>
        <w:rPr>
          <w:rFonts w:hint="eastAsia" w:ascii="宋体" w:hAnsi="宋体" w:eastAsia="宋体" w:cs="宋体"/>
          <w:sz w:val="21"/>
          <w:szCs w:val="21"/>
          <w:u w:val="single"/>
          <w:lang w:val="en-US" w:eastAsia="zh-CN"/>
        </w:rPr>
        <w:t>采购人指定时间</w:t>
      </w:r>
      <w:r>
        <w:rPr>
          <w:rFonts w:hint="eastAsia" w:ascii="宋体" w:hAnsi="宋体" w:eastAsia="宋体" w:cs="宋体"/>
          <w:sz w:val="24"/>
          <w:szCs w:val="24"/>
          <w:u w:val="single"/>
          <w:lang w:eastAsia="zh-CN"/>
        </w:rPr>
        <w:t>（</w:t>
      </w:r>
      <w:r>
        <w:rPr>
          <w:rFonts w:hint="eastAsia" w:ascii="宋体" w:hAnsi="宋体" w:eastAsia="宋体" w:cs="宋体"/>
          <w:sz w:val="24"/>
          <w:szCs w:val="24"/>
          <w:u w:val="single"/>
          <w:lang w:val="en-US" w:eastAsia="zh-CN"/>
        </w:rPr>
        <w:t>以合同签订时间为准</w:t>
      </w:r>
      <w:r>
        <w:rPr>
          <w:rFonts w:hint="eastAsia" w:ascii="宋体" w:hAnsi="宋体" w:eastAsia="宋体" w:cs="宋体"/>
          <w:sz w:val="24"/>
          <w:szCs w:val="24"/>
          <w:u w:val="single"/>
          <w:lang w:eastAsia="zh-CN"/>
        </w:rPr>
        <w:t>）</w:t>
      </w:r>
      <w:r>
        <w:rPr>
          <w:rFonts w:hint="eastAsia" w:ascii="宋体" w:hAnsi="宋体" w:eastAsia="宋体" w:cs="宋体"/>
          <w:sz w:val="21"/>
          <w:szCs w:val="21"/>
          <w:u w:val="single"/>
          <w:lang w:val="en-US" w:eastAsia="zh-CN"/>
        </w:rPr>
        <w:t>。</w:t>
      </w:r>
    </w:p>
    <w:p w14:paraId="607CB1FC">
      <w:pPr>
        <w:pageBreakBefore w:val="0"/>
        <w:widowControl w:val="0"/>
        <w:kinsoku/>
        <w:wordWrap/>
        <w:overflowPunct/>
        <w:topLinePunct w:val="0"/>
        <w:autoSpaceDE/>
        <w:bidi w:val="0"/>
        <w:adjustRightInd w:val="0"/>
        <w:snapToGrid w:val="0"/>
        <w:spacing w:line="420" w:lineRule="auto"/>
        <w:ind w:firstLine="420" w:firstLineChars="200"/>
        <w:rPr>
          <w:rFonts w:hint="eastAsia" w:ascii="宋体" w:hAnsi="宋体" w:eastAsia="宋体" w:cs="宋体"/>
          <w:color w:val="auto"/>
          <w:sz w:val="21"/>
          <w:szCs w:val="21"/>
          <w:u w:val="single"/>
          <w:lang w:val="en-US" w:eastAsia="zh-CN"/>
        </w:rPr>
      </w:pPr>
      <w:r>
        <w:rPr>
          <w:rFonts w:hint="eastAsia" w:ascii="宋体" w:hAnsi="宋体" w:eastAsia="宋体" w:cs="宋体"/>
          <w:color w:val="auto"/>
          <w:sz w:val="21"/>
          <w:szCs w:val="21"/>
          <w:lang w:val="en-US" w:eastAsia="zh-CN"/>
        </w:rPr>
        <w:t>2.履约验收主体及内容：</w:t>
      </w:r>
      <w:r>
        <w:rPr>
          <w:rFonts w:hint="eastAsia" w:ascii="宋体" w:hAnsi="宋体" w:eastAsia="宋体" w:cs="宋体"/>
          <w:color w:val="auto"/>
          <w:sz w:val="21"/>
          <w:szCs w:val="21"/>
          <w:u w:val="single"/>
          <w:lang w:val="en-US" w:eastAsia="zh-CN"/>
        </w:rPr>
        <w:t>由采购人根据合同要求，进行验收。</w:t>
      </w:r>
    </w:p>
    <w:p w14:paraId="05603DEA">
      <w:pPr>
        <w:pageBreakBefore w:val="0"/>
        <w:widowControl w:val="0"/>
        <w:kinsoku/>
        <w:wordWrap/>
        <w:overflowPunct/>
        <w:topLinePunct w:val="0"/>
        <w:autoSpaceDE/>
        <w:bidi w:val="0"/>
        <w:adjustRightInd w:val="0"/>
        <w:snapToGrid w:val="0"/>
        <w:spacing w:line="420" w:lineRule="auto"/>
        <w:ind w:firstLine="420" w:firstLineChars="200"/>
        <w:rPr>
          <w:rFonts w:hint="eastAsia" w:ascii="宋体" w:hAnsi="宋体" w:eastAsia="宋体" w:cs="宋体"/>
          <w:color w:val="auto"/>
          <w:sz w:val="21"/>
          <w:szCs w:val="21"/>
          <w:u w:val="single"/>
          <w:lang w:val="en-US" w:eastAsia="zh-CN"/>
        </w:rPr>
      </w:pPr>
      <w:r>
        <w:rPr>
          <w:rFonts w:hint="eastAsia" w:ascii="宋体" w:hAnsi="宋体" w:eastAsia="宋体" w:cs="宋体"/>
          <w:color w:val="auto"/>
          <w:sz w:val="21"/>
          <w:szCs w:val="21"/>
          <w:lang w:val="en-US" w:eastAsia="zh-CN"/>
        </w:rPr>
        <w:t>3.验收标准：</w:t>
      </w:r>
      <w:r>
        <w:rPr>
          <w:rFonts w:hint="eastAsia" w:ascii="宋体" w:hAnsi="宋体" w:eastAsia="宋体" w:cs="宋体"/>
          <w:color w:val="auto"/>
          <w:sz w:val="21"/>
          <w:szCs w:val="21"/>
          <w:u w:val="single"/>
          <w:lang w:val="en-US" w:eastAsia="zh-CN"/>
        </w:rPr>
        <w:t xml:space="preserve">工程质量达到国家、行业验收合格标准。        </w:t>
      </w:r>
    </w:p>
    <w:p w14:paraId="65185640">
      <w:pPr>
        <w:pageBreakBefore w:val="0"/>
        <w:widowControl w:val="0"/>
        <w:kinsoku/>
        <w:wordWrap/>
        <w:overflowPunct/>
        <w:topLinePunct w:val="0"/>
        <w:autoSpaceDE/>
        <w:bidi w:val="0"/>
        <w:adjustRightInd w:val="0"/>
        <w:snapToGrid w:val="0"/>
        <w:spacing w:line="420" w:lineRule="auto"/>
        <w:ind w:firstLine="420" w:firstLineChars="200"/>
        <w:rPr>
          <w:rFonts w:hint="eastAsia" w:ascii="宋体" w:hAnsi="宋体" w:eastAsia="宋体" w:cs="宋体"/>
          <w:color w:val="auto"/>
          <w:sz w:val="21"/>
          <w:szCs w:val="21"/>
          <w:u w:val="single"/>
          <w:lang w:val="en-US" w:eastAsia="zh-CN"/>
        </w:rPr>
      </w:pPr>
      <w:r>
        <w:rPr>
          <w:rFonts w:hint="eastAsia" w:ascii="宋体" w:hAnsi="宋体" w:eastAsia="宋体" w:cs="宋体"/>
          <w:color w:val="auto"/>
          <w:sz w:val="21"/>
          <w:szCs w:val="21"/>
          <w:lang w:val="en-US" w:eastAsia="zh-CN"/>
        </w:rPr>
        <w:t>4.验收方式：</w:t>
      </w:r>
      <w:r>
        <w:rPr>
          <w:rFonts w:hint="eastAsia" w:ascii="宋体" w:hAnsi="宋体" w:eastAsia="宋体" w:cs="宋体"/>
          <w:sz w:val="21"/>
          <w:szCs w:val="21"/>
          <w:u w:val="single"/>
        </w:rPr>
        <w:t>由采购单位组织有关专业人员按相关的国家标准、质量标准和</w:t>
      </w:r>
      <w:r>
        <w:rPr>
          <w:rFonts w:hint="eastAsia" w:ascii="宋体" w:hAnsi="宋体" w:eastAsia="宋体" w:cs="宋体"/>
          <w:sz w:val="21"/>
          <w:szCs w:val="21"/>
          <w:u w:val="single"/>
          <w:lang w:eastAsia="zh-CN"/>
        </w:rPr>
        <w:t>采购文件</w:t>
      </w:r>
      <w:r>
        <w:rPr>
          <w:rFonts w:hint="eastAsia" w:ascii="宋体" w:hAnsi="宋体" w:eastAsia="宋体" w:cs="宋体"/>
          <w:sz w:val="21"/>
          <w:szCs w:val="21"/>
          <w:u w:val="single"/>
        </w:rPr>
        <w:t>所列的各项要求进行验收。</w:t>
      </w:r>
    </w:p>
    <w:p w14:paraId="1EE4F11E">
      <w:pPr>
        <w:pageBreakBefore w:val="0"/>
        <w:widowControl w:val="0"/>
        <w:kinsoku/>
        <w:wordWrap/>
        <w:overflowPunct/>
        <w:topLinePunct w:val="0"/>
        <w:autoSpaceDE/>
        <w:bidi w:val="0"/>
        <w:adjustRightInd w:val="0"/>
        <w:snapToGrid w:val="0"/>
        <w:spacing w:line="420" w:lineRule="auto"/>
        <w:ind w:firstLine="422" w:firstLineChars="200"/>
        <w:rPr>
          <w:rFonts w:hint="eastAsia" w:ascii="宋体" w:hAnsi="宋体" w:eastAsia="宋体" w:cs="宋体"/>
          <w:b/>
          <w:bCs/>
          <w:color w:val="auto"/>
          <w:sz w:val="21"/>
          <w:szCs w:val="21"/>
        </w:rPr>
      </w:pPr>
      <w:bookmarkStart w:id="3" w:name="_Toc223404486"/>
      <w:r>
        <w:rPr>
          <w:rFonts w:hint="eastAsia" w:ascii="宋体" w:hAnsi="宋体" w:eastAsia="宋体" w:cs="宋体"/>
          <w:b/>
          <w:bCs/>
          <w:color w:val="auto"/>
          <w:sz w:val="21"/>
          <w:szCs w:val="21"/>
          <w:lang w:eastAsia="zh-CN"/>
        </w:rPr>
        <w:t>（十）</w:t>
      </w:r>
      <w:r>
        <w:rPr>
          <w:rFonts w:hint="eastAsia" w:ascii="宋体" w:hAnsi="宋体" w:eastAsia="宋体" w:cs="宋体"/>
          <w:b/>
          <w:bCs/>
          <w:color w:val="auto"/>
          <w:sz w:val="21"/>
          <w:szCs w:val="21"/>
        </w:rPr>
        <w:t>、不可抗力条款</w:t>
      </w:r>
      <w:bookmarkEnd w:id="3"/>
    </w:p>
    <w:p w14:paraId="523BD656">
      <w:pPr>
        <w:pageBreakBefore w:val="0"/>
        <w:widowControl w:val="0"/>
        <w:kinsoku/>
        <w:wordWrap/>
        <w:overflowPunct/>
        <w:topLinePunct w:val="0"/>
        <w:autoSpaceDE/>
        <w:bidi w:val="0"/>
        <w:adjustRightInd w:val="0"/>
        <w:snapToGrid w:val="0"/>
        <w:spacing w:line="42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因不可抗力致使一方不能及时或完全履行合同的，应及时通知采购代理机构及另一方，双方互不承担责任，并在 15天内提供有关不可抗力的相应证明。合同未履行部分是否继续履行、如何履行等问题，可由双方协商解决。</w:t>
      </w:r>
    </w:p>
    <w:p w14:paraId="12BA7EC4">
      <w:pPr>
        <w:pageBreakBefore w:val="0"/>
        <w:widowControl w:val="0"/>
        <w:kinsoku/>
        <w:wordWrap/>
        <w:overflowPunct/>
        <w:topLinePunct w:val="0"/>
        <w:autoSpaceDE/>
        <w:bidi w:val="0"/>
        <w:adjustRightInd w:val="0"/>
        <w:snapToGrid w:val="0"/>
        <w:spacing w:line="420" w:lineRule="auto"/>
        <w:ind w:firstLine="422" w:firstLineChars="200"/>
        <w:rPr>
          <w:rFonts w:hint="eastAsia" w:ascii="宋体" w:hAnsi="宋体" w:eastAsia="宋体" w:cs="宋体"/>
          <w:b/>
          <w:bCs/>
          <w:color w:val="auto"/>
          <w:sz w:val="21"/>
          <w:szCs w:val="21"/>
        </w:rPr>
      </w:pPr>
      <w:bookmarkStart w:id="4" w:name="_Toc223404487"/>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十</w:t>
      </w:r>
      <w:r>
        <w:rPr>
          <w:rFonts w:hint="eastAsia" w:ascii="宋体" w:hAnsi="宋体" w:eastAsia="宋体" w:cs="宋体"/>
          <w:b/>
          <w:bCs/>
          <w:color w:val="auto"/>
          <w:sz w:val="21"/>
          <w:szCs w:val="21"/>
          <w:lang w:eastAsia="zh-CN"/>
        </w:rPr>
        <w:t>一）</w:t>
      </w:r>
      <w:r>
        <w:rPr>
          <w:rFonts w:hint="eastAsia" w:ascii="宋体" w:hAnsi="宋体" w:eastAsia="宋体" w:cs="宋体"/>
          <w:b/>
          <w:bCs/>
          <w:color w:val="auto"/>
          <w:sz w:val="21"/>
          <w:szCs w:val="21"/>
        </w:rPr>
        <w:t>、争议的解决方式</w:t>
      </w:r>
      <w:bookmarkEnd w:id="4"/>
    </w:p>
    <w:p w14:paraId="04EDAB9A">
      <w:pPr>
        <w:pageBreakBefore w:val="0"/>
        <w:widowControl w:val="0"/>
        <w:kinsoku/>
        <w:wordWrap/>
        <w:overflowPunct/>
        <w:topLinePunct w:val="0"/>
        <w:autoSpaceDE/>
        <w:bidi w:val="0"/>
        <w:adjustRightInd w:val="0"/>
        <w:snapToGrid w:val="0"/>
        <w:spacing w:line="420" w:lineRule="auto"/>
        <w:ind w:firstLine="420" w:firstLineChars="200"/>
        <w:rPr>
          <w:rFonts w:hint="eastAsia" w:ascii="宋体" w:hAnsi="宋体" w:eastAsia="宋体" w:cs="宋体"/>
          <w:color w:val="auto"/>
          <w:sz w:val="21"/>
          <w:szCs w:val="21"/>
          <w:lang w:eastAsia="zh-CN"/>
        </w:rPr>
      </w:pPr>
      <w:r>
        <w:rPr>
          <w:rFonts w:hint="eastAsia" w:ascii="宋体" w:hAnsi="宋体" w:eastAsia="宋体" w:cs="宋体"/>
          <w:color w:val="auto"/>
          <w:sz w:val="21"/>
          <w:szCs w:val="21"/>
        </w:rPr>
        <w:t>本合同执行过程中如发生争议，应本着友好的原则协商解决。协商不成产生的诉讼，由甲方所在地人民法院管辖</w:t>
      </w:r>
      <w:r>
        <w:rPr>
          <w:rFonts w:hint="eastAsia" w:ascii="宋体" w:hAnsi="宋体" w:eastAsia="宋体" w:cs="宋体"/>
          <w:color w:val="auto"/>
          <w:sz w:val="21"/>
          <w:szCs w:val="21"/>
          <w:lang w:eastAsia="zh-CN"/>
        </w:rPr>
        <w:t>。</w:t>
      </w:r>
    </w:p>
    <w:p w14:paraId="69713051">
      <w:pPr>
        <w:pageBreakBefore w:val="0"/>
        <w:widowControl w:val="0"/>
        <w:kinsoku/>
        <w:wordWrap/>
        <w:overflowPunct/>
        <w:topLinePunct w:val="0"/>
        <w:autoSpaceDE/>
        <w:bidi w:val="0"/>
        <w:adjustRightInd w:val="0"/>
        <w:snapToGrid w:val="0"/>
        <w:spacing w:line="420" w:lineRule="auto"/>
        <w:ind w:firstLine="422" w:firstLineChars="200"/>
        <w:rPr>
          <w:rFonts w:hint="eastAsia" w:ascii="宋体" w:hAnsi="宋体" w:eastAsia="宋体" w:cs="宋体"/>
          <w:b/>
          <w:bCs/>
          <w:color w:val="auto"/>
          <w:sz w:val="21"/>
          <w:szCs w:val="21"/>
        </w:rPr>
      </w:pPr>
      <w:bookmarkStart w:id="5" w:name="_Toc223404488"/>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十</w:t>
      </w:r>
      <w:r>
        <w:rPr>
          <w:rFonts w:hint="eastAsia" w:ascii="宋体" w:hAnsi="宋体" w:eastAsia="宋体" w:cs="宋体"/>
          <w:b/>
          <w:bCs/>
          <w:color w:val="auto"/>
          <w:sz w:val="21"/>
          <w:szCs w:val="21"/>
          <w:lang w:eastAsia="zh-CN"/>
        </w:rPr>
        <w:t>二）</w:t>
      </w:r>
      <w:r>
        <w:rPr>
          <w:rFonts w:hint="eastAsia" w:ascii="宋体" w:hAnsi="宋体" w:eastAsia="宋体" w:cs="宋体"/>
          <w:b/>
          <w:bCs/>
          <w:color w:val="auto"/>
          <w:sz w:val="21"/>
          <w:szCs w:val="21"/>
        </w:rPr>
        <w:t>、补充协议</w:t>
      </w:r>
      <w:bookmarkEnd w:id="5"/>
    </w:p>
    <w:p w14:paraId="59EAD121">
      <w:pPr>
        <w:pageBreakBefore w:val="0"/>
        <w:widowControl w:val="0"/>
        <w:kinsoku/>
        <w:wordWrap/>
        <w:overflowPunct/>
        <w:topLinePunct w:val="0"/>
        <w:autoSpaceDE/>
        <w:bidi w:val="0"/>
        <w:adjustRightInd w:val="0"/>
        <w:snapToGrid w:val="0"/>
        <w:spacing w:line="42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合同未尽事宜，经双方协商可签订补充协议，所签订的补充协议与本合同具有同等的法律效力，补充协议的生效应符合本合同的有关规定。</w:t>
      </w:r>
    </w:p>
    <w:p w14:paraId="69BA1088">
      <w:pPr>
        <w:pageBreakBefore w:val="0"/>
        <w:widowControl w:val="0"/>
        <w:kinsoku/>
        <w:wordWrap/>
        <w:overflowPunct/>
        <w:topLinePunct w:val="0"/>
        <w:autoSpaceDE/>
        <w:bidi w:val="0"/>
        <w:adjustRightInd w:val="0"/>
        <w:snapToGrid w:val="0"/>
        <w:spacing w:line="420" w:lineRule="auto"/>
        <w:ind w:firstLine="422" w:firstLineChars="200"/>
        <w:rPr>
          <w:rFonts w:hint="eastAsia" w:ascii="宋体" w:hAnsi="宋体" w:eastAsia="宋体" w:cs="宋体"/>
          <w:b/>
          <w:color w:val="auto"/>
          <w:sz w:val="21"/>
          <w:szCs w:val="21"/>
        </w:rPr>
      </w:pPr>
      <w:r>
        <w:rPr>
          <w:rFonts w:hint="eastAsia" w:ascii="宋体" w:hAnsi="宋体" w:eastAsia="宋体" w:cs="宋体"/>
          <w:b/>
          <w:color w:val="auto"/>
          <w:sz w:val="21"/>
          <w:szCs w:val="21"/>
          <w:lang w:eastAsia="zh-CN"/>
        </w:rPr>
        <w:t>（</w:t>
      </w:r>
      <w:r>
        <w:rPr>
          <w:rFonts w:hint="eastAsia" w:ascii="宋体" w:hAnsi="宋体" w:eastAsia="宋体" w:cs="宋体"/>
          <w:b/>
          <w:color w:val="auto"/>
          <w:sz w:val="21"/>
          <w:szCs w:val="21"/>
        </w:rPr>
        <w:t>十</w:t>
      </w:r>
      <w:r>
        <w:rPr>
          <w:rFonts w:hint="eastAsia" w:ascii="宋体" w:hAnsi="宋体" w:eastAsia="宋体" w:cs="宋体"/>
          <w:b/>
          <w:color w:val="auto"/>
          <w:sz w:val="21"/>
          <w:szCs w:val="21"/>
          <w:lang w:eastAsia="zh-CN"/>
        </w:rPr>
        <w:t>三）</w:t>
      </w:r>
      <w:r>
        <w:rPr>
          <w:rFonts w:hint="eastAsia" w:ascii="宋体" w:hAnsi="宋体" w:eastAsia="宋体" w:cs="宋体"/>
          <w:b/>
          <w:color w:val="auto"/>
          <w:sz w:val="21"/>
          <w:szCs w:val="21"/>
        </w:rPr>
        <w:t>、合同生效</w:t>
      </w:r>
    </w:p>
    <w:p w14:paraId="72DE3909">
      <w:pPr>
        <w:pageBreakBefore w:val="0"/>
        <w:widowControl w:val="0"/>
        <w:kinsoku/>
        <w:wordWrap/>
        <w:overflowPunct/>
        <w:topLinePunct w:val="0"/>
        <w:autoSpaceDE/>
        <w:bidi w:val="0"/>
        <w:adjustRightInd w:val="0"/>
        <w:snapToGrid w:val="0"/>
        <w:spacing w:line="42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 合同双方签订后生效。</w:t>
      </w:r>
    </w:p>
    <w:p w14:paraId="73BE58C9">
      <w:pPr>
        <w:pageBreakBefore w:val="0"/>
        <w:widowControl w:val="0"/>
        <w:kinsoku/>
        <w:wordWrap/>
        <w:overflowPunct/>
        <w:topLinePunct w:val="0"/>
        <w:autoSpaceDE/>
        <w:bidi w:val="0"/>
        <w:adjustRightInd w:val="0"/>
        <w:snapToGrid w:val="0"/>
        <w:spacing w:line="42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 本合同一式</w:t>
      </w:r>
      <w:r>
        <w:rPr>
          <w:rFonts w:hint="eastAsia" w:ascii="宋体" w:hAnsi="宋体" w:eastAsia="宋体" w:cs="宋体"/>
          <w:color w:val="auto"/>
          <w:sz w:val="21"/>
          <w:szCs w:val="21"/>
          <w:lang w:val="en-US" w:eastAsia="zh-CN"/>
        </w:rPr>
        <w:t>四</w:t>
      </w:r>
      <w:r>
        <w:rPr>
          <w:rFonts w:hint="eastAsia" w:ascii="宋体" w:hAnsi="宋体" w:eastAsia="宋体" w:cs="宋体"/>
          <w:color w:val="auto"/>
          <w:sz w:val="21"/>
          <w:szCs w:val="21"/>
        </w:rPr>
        <w:t>份，甲、乙双方各执两份。</w:t>
      </w:r>
    </w:p>
    <w:p w14:paraId="7530F3AA">
      <w:pPr>
        <w:pageBreakBefore w:val="0"/>
        <w:widowControl w:val="0"/>
        <w:kinsoku/>
        <w:wordWrap/>
        <w:overflowPunct/>
        <w:topLinePunct w:val="0"/>
        <w:autoSpaceDE/>
        <w:bidi w:val="0"/>
        <w:spacing w:line="420" w:lineRule="auto"/>
        <w:ind w:firstLine="420" w:firstLineChars="200"/>
        <w:jc w:val="both"/>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甲方（盖章）                               乙方（盖章）</w:t>
      </w:r>
    </w:p>
    <w:p w14:paraId="37ACBCC3">
      <w:pPr>
        <w:pageBreakBefore w:val="0"/>
        <w:widowControl w:val="0"/>
        <w:kinsoku/>
        <w:wordWrap/>
        <w:overflowPunct/>
        <w:topLinePunct w:val="0"/>
        <w:autoSpaceDE/>
        <w:bidi w:val="0"/>
        <w:spacing w:line="420" w:lineRule="auto"/>
        <w:ind w:firstLine="420" w:firstLineChars="200"/>
        <w:jc w:val="both"/>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法定代表人或授权人：                      法定代表人或授权人：</w:t>
      </w:r>
    </w:p>
    <w:p w14:paraId="6D4E3CBB">
      <w:pPr>
        <w:pageBreakBefore w:val="0"/>
        <w:widowControl w:val="0"/>
        <w:kinsoku/>
        <w:wordWrap/>
        <w:overflowPunct/>
        <w:topLinePunct w:val="0"/>
        <w:autoSpaceDE/>
        <w:bidi w:val="0"/>
        <w:spacing w:line="420" w:lineRule="auto"/>
        <w:ind w:firstLine="420" w:firstLineChars="200"/>
        <w:jc w:val="both"/>
        <w:rPr>
          <w:rFonts w:hint="eastAsia" w:ascii="宋体" w:hAnsi="宋体" w:eastAsia="宋体" w:cs="宋体"/>
          <w:b/>
          <w:bCs/>
          <w:sz w:val="24"/>
          <w:szCs w:val="24"/>
        </w:rPr>
      </w:pPr>
      <w:r>
        <w:rPr>
          <w:rFonts w:hint="eastAsia" w:ascii="宋体" w:hAnsi="宋体" w:eastAsia="宋体" w:cs="宋体"/>
          <w:color w:val="auto"/>
          <w:kern w:val="2"/>
          <w:sz w:val="21"/>
          <w:szCs w:val="21"/>
          <w:lang w:val="en-US" w:eastAsia="zh-CN" w:bidi="ar-SA"/>
        </w:rPr>
        <w:t>日期：                                     日期：</w:t>
      </w:r>
    </w:p>
    <w:p w14:paraId="7C367562">
      <w:pPr>
        <w:adjustRightInd w:val="0"/>
        <w:snapToGrid w:val="0"/>
        <w:spacing w:line="480" w:lineRule="auto"/>
        <w:ind w:firstLine="482" w:firstLineChars="200"/>
        <w:rPr>
          <w:rFonts w:hint="eastAsia" w:ascii="宋体" w:hAnsi="宋体" w:eastAsia="宋体" w:cs="宋体"/>
          <w:b/>
          <w:color w:val="auto"/>
          <w:sz w:val="24"/>
          <w:szCs w:val="24"/>
          <w:lang w:val="en-US" w:eastAsia="zh-CN"/>
        </w:rPr>
      </w:pPr>
    </w:p>
    <w:p w14:paraId="3FCFDB8A">
      <w:pPr>
        <w:adjustRightInd w:val="0"/>
        <w:snapToGrid w:val="0"/>
        <w:spacing w:line="480" w:lineRule="auto"/>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五</w:t>
      </w:r>
      <w:r>
        <w:rPr>
          <w:rFonts w:hint="eastAsia" w:ascii="宋体" w:hAnsi="宋体" w:eastAsia="宋体" w:cs="宋体"/>
          <w:b/>
          <w:color w:val="auto"/>
          <w:sz w:val="24"/>
          <w:szCs w:val="24"/>
        </w:rPr>
        <w:t>、采购单位、采购单位地址、项目联系人及联系电话</w:t>
      </w:r>
    </w:p>
    <w:p w14:paraId="14729190">
      <w:pPr>
        <w:adjustRightInd w:val="0"/>
        <w:snapToGrid w:val="0"/>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1、采购单位：</w:t>
      </w:r>
      <w:r>
        <w:rPr>
          <w:rFonts w:hint="eastAsia" w:ascii="宋体" w:hAnsi="宋体" w:eastAsia="宋体" w:cs="宋体"/>
          <w:color w:val="auto"/>
          <w:sz w:val="24"/>
          <w:szCs w:val="24"/>
          <w:lang w:eastAsia="zh-CN"/>
        </w:rPr>
        <w:t>府谷县</w:t>
      </w:r>
      <w:r>
        <w:rPr>
          <w:rFonts w:hint="eastAsia" w:ascii="宋体" w:hAnsi="宋体" w:eastAsia="宋体" w:cs="宋体"/>
          <w:color w:val="auto"/>
          <w:sz w:val="24"/>
          <w:szCs w:val="24"/>
          <w:lang w:val="en-US" w:eastAsia="zh-CN"/>
        </w:rPr>
        <w:t>林业局</w:t>
      </w:r>
    </w:p>
    <w:p w14:paraId="2E9EC222">
      <w:pPr>
        <w:adjustRightInd w:val="0"/>
        <w:snapToGrid w:val="0"/>
        <w:spacing w:line="480" w:lineRule="auto"/>
        <w:ind w:firstLine="480" w:firstLineChars="200"/>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2、采购单位地址：</w:t>
      </w:r>
      <w:r>
        <w:rPr>
          <w:rFonts w:hint="eastAsia" w:ascii="宋体" w:hAnsi="宋体" w:eastAsia="宋体" w:cs="宋体"/>
          <w:color w:val="auto"/>
          <w:sz w:val="24"/>
          <w:szCs w:val="24"/>
          <w:lang w:val="en-US" w:eastAsia="zh-CN"/>
        </w:rPr>
        <w:t>府谷县新区国土资源交易大楼9楼</w:t>
      </w:r>
    </w:p>
    <w:p w14:paraId="2916AE93">
      <w:pPr>
        <w:adjustRightInd w:val="0"/>
        <w:snapToGrid w:val="0"/>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3、项目联系人：</w:t>
      </w:r>
      <w:r>
        <w:rPr>
          <w:rFonts w:hint="eastAsia" w:ascii="宋体" w:hAnsi="宋体" w:eastAsia="宋体" w:cs="宋体"/>
          <w:color w:val="auto"/>
          <w:sz w:val="24"/>
          <w:szCs w:val="24"/>
          <w:lang w:val="en-US" w:eastAsia="zh-CN"/>
        </w:rPr>
        <w:t>张峰  联系电话：13389122135</w:t>
      </w:r>
    </w:p>
    <w:p w14:paraId="5DD765B1">
      <w:pPr>
        <w:tabs>
          <w:tab w:val="left" w:pos="756"/>
        </w:tabs>
        <w:spacing w:line="480" w:lineRule="auto"/>
        <w:jc w:val="righ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府谷县林业局</w:t>
      </w:r>
    </w:p>
    <w:p w14:paraId="290FD9E4">
      <w:pPr>
        <w:tabs>
          <w:tab w:val="left" w:pos="756"/>
        </w:tabs>
        <w:spacing w:line="480" w:lineRule="auto"/>
        <w:jc w:val="righ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202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年</w:t>
      </w:r>
      <w:r>
        <w:rPr>
          <w:rFonts w:hint="eastAsia" w:ascii="宋体" w:hAnsi="宋体" w:eastAsia="宋体" w:cs="宋体"/>
          <w:color w:val="auto"/>
          <w:sz w:val="24"/>
          <w:szCs w:val="24"/>
          <w:lang w:val="en-US" w:eastAsia="zh-CN"/>
        </w:rPr>
        <w:t>09</w:t>
      </w:r>
      <w:r>
        <w:rPr>
          <w:rFonts w:hint="eastAsia" w:ascii="宋体" w:hAnsi="宋体" w:eastAsia="宋体" w:cs="宋体"/>
          <w:color w:val="auto"/>
          <w:sz w:val="24"/>
          <w:szCs w:val="24"/>
        </w:rPr>
        <w:t>月</w:t>
      </w:r>
      <w:r>
        <w:rPr>
          <w:rFonts w:hint="eastAsia" w:ascii="宋体" w:hAnsi="宋体" w:eastAsia="宋体" w:cs="宋体"/>
          <w:color w:val="auto"/>
          <w:sz w:val="24"/>
          <w:szCs w:val="24"/>
          <w:lang w:val="en-US" w:eastAsia="zh-CN"/>
        </w:rPr>
        <w:t>23</w:t>
      </w:r>
      <w:r>
        <w:rPr>
          <w:rFonts w:hint="eastAsia" w:ascii="宋体" w:hAnsi="宋体" w:eastAsia="宋体" w:cs="宋体"/>
          <w:color w:val="auto"/>
          <w:sz w:val="24"/>
          <w:szCs w:val="24"/>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幼圆">
    <w:altName w:val="宋体"/>
    <w:panose1 w:val="02010509060101010101"/>
    <w:charset w:val="86"/>
    <w:family w:val="modern"/>
    <w:pitch w:val="default"/>
    <w:sig w:usb0="00000000" w:usb1="00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3F70458"/>
    <w:multiLevelType w:val="singleLevel"/>
    <w:tmpl w:val="73F70458"/>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RjOWEwYWU2MDk5OTIwNDkwNGY5OTFlY2NjZWI0YWIifQ=="/>
  </w:docVars>
  <w:rsids>
    <w:rsidRoot w:val="00000000"/>
    <w:rsid w:val="01D17056"/>
    <w:rsid w:val="03585AD2"/>
    <w:rsid w:val="0361265C"/>
    <w:rsid w:val="037E28EF"/>
    <w:rsid w:val="08236132"/>
    <w:rsid w:val="097C515A"/>
    <w:rsid w:val="09C71E94"/>
    <w:rsid w:val="09E32BD9"/>
    <w:rsid w:val="09EA33AB"/>
    <w:rsid w:val="0D3D16BC"/>
    <w:rsid w:val="0D7640B1"/>
    <w:rsid w:val="0D817B82"/>
    <w:rsid w:val="0EDD34DE"/>
    <w:rsid w:val="12A54313"/>
    <w:rsid w:val="16421E79"/>
    <w:rsid w:val="16EF2672"/>
    <w:rsid w:val="17382A37"/>
    <w:rsid w:val="1A305C02"/>
    <w:rsid w:val="1A3348FA"/>
    <w:rsid w:val="1A367F46"/>
    <w:rsid w:val="1BF74D53"/>
    <w:rsid w:val="1C6B2111"/>
    <w:rsid w:val="1CDC56C2"/>
    <w:rsid w:val="1D0A37C7"/>
    <w:rsid w:val="1F6E1F30"/>
    <w:rsid w:val="20567911"/>
    <w:rsid w:val="20694A16"/>
    <w:rsid w:val="2ADF4321"/>
    <w:rsid w:val="2CE11F94"/>
    <w:rsid w:val="2F3F1ACB"/>
    <w:rsid w:val="2F4862FA"/>
    <w:rsid w:val="324C7EAF"/>
    <w:rsid w:val="32D63C1D"/>
    <w:rsid w:val="32DC7485"/>
    <w:rsid w:val="335722A1"/>
    <w:rsid w:val="35907484"/>
    <w:rsid w:val="36A579BC"/>
    <w:rsid w:val="38B7004D"/>
    <w:rsid w:val="3AEE2345"/>
    <w:rsid w:val="3E420192"/>
    <w:rsid w:val="4081166C"/>
    <w:rsid w:val="41697D0E"/>
    <w:rsid w:val="42356F07"/>
    <w:rsid w:val="429A7051"/>
    <w:rsid w:val="453D5029"/>
    <w:rsid w:val="454F3AE7"/>
    <w:rsid w:val="463C4B8F"/>
    <w:rsid w:val="47DF019E"/>
    <w:rsid w:val="4AFB1452"/>
    <w:rsid w:val="4E086E6A"/>
    <w:rsid w:val="4E0D2791"/>
    <w:rsid w:val="505461FE"/>
    <w:rsid w:val="52607BCE"/>
    <w:rsid w:val="52EB1FE1"/>
    <w:rsid w:val="52F45CCD"/>
    <w:rsid w:val="555E469B"/>
    <w:rsid w:val="56097CE2"/>
    <w:rsid w:val="579B6102"/>
    <w:rsid w:val="5AB15B96"/>
    <w:rsid w:val="5B90561D"/>
    <w:rsid w:val="5C026A96"/>
    <w:rsid w:val="5C693288"/>
    <w:rsid w:val="5E843E5A"/>
    <w:rsid w:val="5F6367D1"/>
    <w:rsid w:val="60773A12"/>
    <w:rsid w:val="610A34BF"/>
    <w:rsid w:val="614900BB"/>
    <w:rsid w:val="62AD3045"/>
    <w:rsid w:val="63644CF4"/>
    <w:rsid w:val="63DA2CBD"/>
    <w:rsid w:val="66C8504F"/>
    <w:rsid w:val="682E529D"/>
    <w:rsid w:val="6A236A13"/>
    <w:rsid w:val="6A275166"/>
    <w:rsid w:val="6A6B28C1"/>
    <w:rsid w:val="6B950F74"/>
    <w:rsid w:val="6BF6265F"/>
    <w:rsid w:val="6C4B53D2"/>
    <w:rsid w:val="6DF96B24"/>
    <w:rsid w:val="703479EE"/>
    <w:rsid w:val="704B010A"/>
    <w:rsid w:val="73C17C6B"/>
    <w:rsid w:val="748B1F2B"/>
    <w:rsid w:val="753E1660"/>
    <w:rsid w:val="77F652AA"/>
    <w:rsid w:val="7A302F01"/>
    <w:rsid w:val="7A857625"/>
    <w:rsid w:val="7B47063E"/>
    <w:rsid w:val="7F6851CA"/>
    <w:rsid w:val="7F69484E"/>
    <w:rsid w:val="7F7A23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link w:val="21"/>
    <w:autoRedefine/>
    <w:qFormat/>
    <w:uiPriority w:val="9"/>
    <w:pPr>
      <w:keepNext/>
      <w:keepLines/>
      <w:spacing w:line="240" w:lineRule="auto"/>
      <w:jc w:val="center"/>
      <w:outlineLvl w:val="0"/>
    </w:pPr>
    <w:rPr>
      <w:rFonts w:ascii="Times New Roman" w:hAnsi="Times New Roman" w:eastAsia="宋体"/>
      <w:b/>
      <w:bCs/>
      <w:kern w:val="44"/>
      <w:sz w:val="36"/>
      <w:szCs w:val="44"/>
    </w:rPr>
  </w:style>
  <w:style w:type="paragraph" w:styleId="4">
    <w:name w:val="heading 2"/>
    <w:basedOn w:val="1"/>
    <w:next w:val="1"/>
    <w:autoRedefine/>
    <w:qFormat/>
    <w:uiPriority w:val="9"/>
    <w:pPr>
      <w:keepNext/>
      <w:keepLines/>
      <w:spacing w:line="240" w:lineRule="auto"/>
      <w:outlineLvl w:val="1"/>
    </w:pPr>
    <w:rPr>
      <w:rFonts w:ascii="Calibri" w:hAnsi="Calibri"/>
      <w:b/>
      <w:bCs/>
      <w:kern w:val="0"/>
      <w:sz w:val="32"/>
      <w:szCs w:val="32"/>
    </w:rPr>
  </w:style>
  <w:style w:type="paragraph" w:styleId="2">
    <w:name w:val="heading 4"/>
    <w:next w:val="1"/>
    <w:qFormat/>
    <w:uiPriority w:val="0"/>
    <w:pPr>
      <w:keepNext/>
      <w:keepLines/>
      <w:widowControl w:val="0"/>
      <w:spacing w:before="280" w:after="290" w:line="240" w:lineRule="auto"/>
      <w:jc w:val="left"/>
      <w:outlineLvl w:val="3"/>
    </w:pPr>
    <w:rPr>
      <w:rFonts w:ascii="Calibri" w:hAnsi="Calibri" w:eastAsia="宋体" w:cs="Times New Roman"/>
      <w:b/>
      <w:bCs/>
      <w:kern w:val="2"/>
      <w:sz w:val="21"/>
      <w:szCs w:val="24"/>
      <w:lang w:val="en-US" w:eastAsia="zh-CN" w:bidi="ar-SA"/>
    </w:rPr>
  </w:style>
  <w:style w:type="character" w:default="1" w:styleId="17">
    <w:name w:val="Default Paragraph Font"/>
    <w:semiHidden/>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styleId="5">
    <w:name w:val="Normal Indent"/>
    <w:basedOn w:val="1"/>
    <w:autoRedefine/>
    <w:unhideWhenUsed/>
    <w:qFormat/>
    <w:uiPriority w:val="99"/>
    <w:pPr>
      <w:ind w:firstLine="420"/>
    </w:pPr>
  </w:style>
  <w:style w:type="paragraph" w:styleId="6">
    <w:name w:val="Body Text"/>
    <w:basedOn w:val="1"/>
    <w:next w:val="7"/>
    <w:autoRedefine/>
    <w:qFormat/>
    <w:uiPriority w:val="0"/>
    <w:pPr>
      <w:spacing w:afterLines="50" w:line="360" w:lineRule="auto"/>
    </w:pPr>
    <w:rPr>
      <w:rFonts w:ascii="宋体" w:hAnsi="宋体"/>
      <w:color w:val="000000"/>
      <w:sz w:val="24"/>
    </w:rPr>
  </w:style>
  <w:style w:type="paragraph" w:styleId="7">
    <w:name w:val="Body Text 2"/>
    <w:basedOn w:val="1"/>
    <w:autoRedefine/>
    <w:qFormat/>
    <w:uiPriority w:val="0"/>
    <w:pPr>
      <w:spacing w:line="360" w:lineRule="auto"/>
    </w:pPr>
    <w:rPr>
      <w:rFonts w:ascii="幼圆" w:eastAsia="幼圆"/>
      <w:sz w:val="24"/>
      <w:u w:val="single"/>
    </w:rPr>
  </w:style>
  <w:style w:type="paragraph" w:styleId="8">
    <w:name w:val="Body Text Indent"/>
    <w:basedOn w:val="1"/>
    <w:autoRedefine/>
    <w:qFormat/>
    <w:uiPriority w:val="0"/>
    <w:pPr>
      <w:ind w:left="1083" w:leftChars="30" w:hanging="1020" w:hangingChars="425"/>
    </w:pPr>
    <w:rPr>
      <w:rFonts w:ascii="宋体" w:hAnsi="宋体"/>
      <w:sz w:val="24"/>
    </w:rPr>
  </w:style>
  <w:style w:type="paragraph" w:styleId="9">
    <w:name w:val="footer"/>
    <w:basedOn w:val="1"/>
    <w:next w:val="1"/>
    <w:autoRedefine/>
    <w:qFormat/>
    <w:uiPriority w:val="0"/>
    <w:pPr>
      <w:tabs>
        <w:tab w:val="center" w:pos="4153"/>
        <w:tab w:val="right" w:pos="8306"/>
      </w:tabs>
      <w:snapToGrid w:val="0"/>
      <w:jc w:val="left"/>
    </w:pPr>
    <w:rPr>
      <w:sz w:val="18"/>
    </w:rPr>
  </w:style>
  <w:style w:type="paragraph" w:styleId="10">
    <w:name w:val="envelope return"/>
    <w:basedOn w:val="1"/>
    <w:qFormat/>
    <w:uiPriority w:val="0"/>
    <w:pPr>
      <w:snapToGrid w:val="0"/>
    </w:pPr>
    <w:rPr>
      <w:rFonts w:ascii="Arial" w:hAnsi="Arial"/>
    </w:rPr>
  </w:style>
  <w:style w:type="paragraph" w:styleId="11">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2">
    <w:name w:val="HTML Preformatted"/>
    <w:basedOn w:val="1"/>
    <w:autoRedefine/>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rPr>
  </w:style>
  <w:style w:type="paragraph" w:styleId="13">
    <w:name w:val="Normal (Web)"/>
    <w:basedOn w:val="1"/>
    <w:next w:val="10"/>
    <w:qFormat/>
    <w:uiPriority w:val="0"/>
    <w:pPr>
      <w:widowControl/>
      <w:spacing w:before="100" w:beforeAutospacing="1" w:after="100" w:afterAutospacing="1"/>
      <w:jc w:val="left"/>
    </w:pPr>
    <w:rPr>
      <w:rFonts w:ascii="宋体" w:hAnsi="宋体" w:cs="宋体"/>
      <w:kern w:val="0"/>
      <w:sz w:val="24"/>
    </w:rPr>
  </w:style>
  <w:style w:type="paragraph" w:styleId="14">
    <w:name w:val="Body Text First Indent"/>
    <w:basedOn w:val="6"/>
    <w:autoRedefine/>
    <w:qFormat/>
    <w:uiPriority w:val="0"/>
    <w:pPr>
      <w:adjustRightInd w:val="0"/>
      <w:ind w:firstLine="420"/>
      <w:jc w:val="left"/>
      <w:textAlignment w:val="baseline"/>
    </w:pPr>
    <w:rPr>
      <w:kern w:val="0"/>
      <w:sz w:val="21"/>
    </w:rPr>
  </w:style>
  <w:style w:type="paragraph" w:styleId="15">
    <w:name w:val="Body Text First Indent 2"/>
    <w:basedOn w:val="8"/>
    <w:next w:val="14"/>
    <w:autoRedefine/>
    <w:unhideWhenUsed/>
    <w:qFormat/>
    <w:uiPriority w:val="99"/>
    <w:pPr>
      <w:ind w:firstLine="420" w:firstLineChars="200"/>
    </w:pPr>
  </w:style>
  <w:style w:type="paragraph" w:customStyle="1" w:styleId="18">
    <w:name w:val="正文缩进1"/>
    <w:basedOn w:val="1"/>
    <w:autoRedefine/>
    <w:qFormat/>
    <w:uiPriority w:val="0"/>
    <w:pPr>
      <w:ind w:firstLine="420" w:firstLineChars="200"/>
    </w:pPr>
  </w:style>
  <w:style w:type="character" w:customStyle="1" w:styleId="19">
    <w:name w:val="font101"/>
    <w:basedOn w:val="17"/>
    <w:autoRedefine/>
    <w:qFormat/>
    <w:uiPriority w:val="0"/>
    <w:rPr>
      <w:rFonts w:hint="default" w:ascii="Times New Roman" w:hAnsi="Times New Roman" w:cs="Times New Roman"/>
      <w:color w:val="000000"/>
      <w:sz w:val="22"/>
      <w:szCs w:val="22"/>
      <w:u w:val="none"/>
    </w:rPr>
  </w:style>
  <w:style w:type="character" w:customStyle="1" w:styleId="20">
    <w:name w:val="font81"/>
    <w:basedOn w:val="17"/>
    <w:autoRedefine/>
    <w:qFormat/>
    <w:uiPriority w:val="0"/>
    <w:rPr>
      <w:rFonts w:hint="eastAsia" w:ascii="宋体" w:hAnsi="宋体" w:eastAsia="宋体" w:cs="宋体"/>
      <w:color w:val="000000"/>
      <w:sz w:val="22"/>
      <w:szCs w:val="22"/>
      <w:u w:val="none"/>
    </w:rPr>
  </w:style>
  <w:style w:type="character" w:customStyle="1" w:styleId="21">
    <w:name w:val="标题 1 Char"/>
    <w:link w:val="3"/>
    <w:autoRedefine/>
    <w:qFormat/>
    <w:uiPriority w:val="9"/>
    <w:rPr>
      <w:rFonts w:ascii="Times New Roman" w:hAnsi="Times New Roman" w:eastAsia="宋体"/>
      <w:b/>
      <w:bCs/>
      <w:kern w:val="44"/>
      <w:sz w:val="36"/>
      <w:szCs w:val="44"/>
    </w:rPr>
  </w:style>
  <w:style w:type="paragraph" w:customStyle="1" w:styleId="22">
    <w:name w:val="正文（缩进 2 字符）"/>
    <w:basedOn w:val="1"/>
    <w:autoRedefine/>
    <w:qFormat/>
    <w:uiPriority w:val="0"/>
    <w:pPr>
      <w:ind w:firstLine="20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1752</Words>
  <Characters>1824</Characters>
  <Lines>0</Lines>
  <Paragraphs>0</Paragraphs>
  <TotalTime>14</TotalTime>
  <ScaleCrop>false</ScaleCrop>
  <LinksUpToDate>false</LinksUpToDate>
  <CharactersWithSpaces>2138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12229</dc:creator>
  <cp:lastModifiedBy>Eyes  cry</cp:lastModifiedBy>
  <dcterms:modified xsi:type="dcterms:W3CDTF">2026-09-23T07:26:16Z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E3BBF49FBB1A4679A37FA956EE5F9F50_13</vt:lpwstr>
  </property>
  <property fmtid="{D5CDD505-2E9C-101B-9397-08002B2CF9AE}" pid="4" name="KSOTemplateDocerSaveRecord">
    <vt:lpwstr>eyJoZGlkIjoiNmQ2MTJmZjcxNzZkZTQ5MzY3NDQ0NjY2OTJiOGRhMTciLCJ1c2VySWQiOiI0MTkwMDI0ODMifQ==</vt:lpwstr>
  </property>
</Properties>
</file>