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9956E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5"/>
        <w:gridCol w:w="770"/>
        <w:gridCol w:w="7107"/>
      </w:tblGrid>
      <w:tr w14:paraId="67217D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645" w:type="dxa"/>
            <w:vAlign w:val="center"/>
          </w:tcPr>
          <w:p w14:paraId="2623C95A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序号</w:t>
            </w:r>
          </w:p>
        </w:tc>
        <w:tc>
          <w:tcPr>
            <w:tcW w:w="770" w:type="dxa"/>
            <w:vAlign w:val="center"/>
          </w:tcPr>
          <w:p w14:paraId="39E15107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参数</w:t>
            </w:r>
          </w:p>
          <w:p w14:paraId="5746AE78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性质</w:t>
            </w:r>
          </w:p>
        </w:tc>
        <w:tc>
          <w:tcPr>
            <w:tcW w:w="7107" w:type="dxa"/>
            <w:vAlign w:val="center"/>
          </w:tcPr>
          <w:p w14:paraId="75CCF7A9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技术参数与性能指标</w:t>
            </w:r>
          </w:p>
        </w:tc>
      </w:tr>
      <w:tr w14:paraId="03A36B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19AD30BA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770" w:type="dxa"/>
            <w:vAlign w:val="center"/>
          </w:tcPr>
          <w:p w14:paraId="4CDEC160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</w:p>
        </w:tc>
        <w:tc>
          <w:tcPr>
            <w:tcW w:w="7107" w:type="dxa"/>
            <w:vAlign w:val="center"/>
          </w:tcPr>
          <w:p w14:paraId="586D1139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  <w:r>
              <w:rPr>
                <w:rFonts w:ascii="宋体" w:hAnsi="宋体" w:eastAsia="宋体" w:cs="宋体"/>
                <w:b/>
                <w:bCs/>
                <w:sz w:val="18"/>
                <w:szCs w:val="18"/>
              </w:rPr>
              <w:t>采购清单</w:t>
            </w:r>
          </w:p>
          <w:tbl>
            <w:tblPr>
              <w:tblStyle w:val="4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4"/>
              <w:gridCol w:w="1247"/>
              <w:gridCol w:w="766"/>
              <w:gridCol w:w="1239"/>
              <w:gridCol w:w="1563"/>
              <w:gridCol w:w="1432"/>
            </w:tblGrid>
            <w:tr w14:paraId="477D007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634" w:type="dxa"/>
                  <w:vAlign w:val="center"/>
                </w:tcPr>
                <w:p w14:paraId="0E9BBFFE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序号</w:t>
                  </w:r>
                </w:p>
              </w:tc>
              <w:tc>
                <w:tcPr>
                  <w:tcW w:w="1247" w:type="dxa"/>
                  <w:vAlign w:val="center"/>
                </w:tcPr>
                <w:p w14:paraId="76F73B79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货物名称</w:t>
                  </w:r>
                </w:p>
              </w:tc>
              <w:tc>
                <w:tcPr>
                  <w:tcW w:w="766" w:type="dxa"/>
                  <w:vAlign w:val="center"/>
                </w:tcPr>
                <w:p w14:paraId="64215F16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数量</w:t>
                  </w:r>
                </w:p>
              </w:tc>
              <w:tc>
                <w:tcPr>
                  <w:tcW w:w="1239" w:type="dxa"/>
                  <w:vAlign w:val="center"/>
                </w:tcPr>
                <w:p w14:paraId="1037EA48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单价</w:t>
                  </w:r>
                </w:p>
              </w:tc>
              <w:tc>
                <w:tcPr>
                  <w:tcW w:w="1563" w:type="dxa"/>
                  <w:vAlign w:val="center"/>
                </w:tcPr>
                <w:p w14:paraId="1C50E342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预算金额（元）</w:t>
                  </w:r>
                </w:p>
              </w:tc>
              <w:tc>
                <w:tcPr>
                  <w:tcW w:w="1432" w:type="dxa"/>
                  <w:vAlign w:val="center"/>
                </w:tcPr>
                <w:p w14:paraId="5FC07B4D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核心产品</w:t>
                  </w:r>
                </w:p>
              </w:tc>
            </w:tr>
            <w:tr w14:paraId="25BD14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66252B21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47" w:type="dxa"/>
                  <w:vAlign w:val="center"/>
                </w:tcPr>
                <w:p w14:paraId="769A8CED">
                  <w:pPr>
                    <w:widowControl w:val="0"/>
                    <w:spacing w:line="240" w:lineRule="auto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便携式脑电实验单元</w:t>
                  </w:r>
                </w:p>
              </w:tc>
              <w:tc>
                <w:tcPr>
                  <w:tcW w:w="766" w:type="dxa"/>
                  <w:vAlign w:val="center"/>
                </w:tcPr>
                <w:p w14:paraId="5CA64CE5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06E38890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300000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24784895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300000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73207F97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 w:eastAsiaTheme="minorEastAsia"/>
                      <w:sz w:val="18"/>
                      <w:szCs w:val="18"/>
                      <w:lang w:eastAsia="zh-CN"/>
                    </w:rPr>
                  </w:pPr>
                  <w:r>
                    <w:rPr>
                      <w:rFonts w:ascii="仿宋_GB2312" w:hAnsi="仿宋_GB2312" w:eastAsia="仿宋_GB2312" w:cs="仿宋_GB2312"/>
                      <w:sz w:val="21"/>
                    </w:rPr>
                    <w:t>√</w:t>
                  </w:r>
                </w:p>
              </w:tc>
            </w:tr>
            <w:tr w14:paraId="655DF1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0A5460AD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247" w:type="dxa"/>
                  <w:vAlign w:val="center"/>
                </w:tcPr>
                <w:p w14:paraId="217958CD">
                  <w:pPr>
                    <w:widowControl w:val="0"/>
                    <w:spacing w:line="240" w:lineRule="auto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眼动轨迹追踪采集单元</w:t>
                  </w:r>
                </w:p>
              </w:tc>
              <w:tc>
                <w:tcPr>
                  <w:tcW w:w="766" w:type="dxa"/>
                  <w:vAlign w:val="center"/>
                </w:tcPr>
                <w:p w14:paraId="200AF085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7F2B599F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150000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1FEA8D86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150000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7E20D611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bookmarkStart w:id="0" w:name="_GoBack"/>
                  <w:bookmarkEnd w:id="0"/>
                </w:p>
              </w:tc>
            </w:tr>
            <w:tr w14:paraId="324C11D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5EA32AB0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247" w:type="dxa"/>
                  <w:vAlign w:val="center"/>
                </w:tcPr>
                <w:p w14:paraId="7AA07C9B">
                  <w:pPr>
                    <w:widowControl w:val="0"/>
                    <w:spacing w:line="400" w:lineRule="exact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智能体征采集单元</w:t>
                  </w:r>
                </w:p>
              </w:tc>
              <w:tc>
                <w:tcPr>
                  <w:tcW w:w="766" w:type="dxa"/>
                  <w:vAlign w:val="center"/>
                </w:tcPr>
                <w:p w14:paraId="54EC5F9A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081238AA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28000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2D0EC33A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28000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70B12DD4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</w:p>
              </w:tc>
            </w:tr>
            <w:tr w14:paraId="0A1E3BF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34" w:type="dxa"/>
                  <w:vAlign w:val="center"/>
                </w:tcPr>
                <w:p w14:paraId="1A9DBBD9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47" w:type="dxa"/>
                  <w:vAlign w:val="center"/>
                </w:tcPr>
                <w:p w14:paraId="31E0BA6E">
                  <w:pPr>
                    <w:widowControl w:val="0"/>
                    <w:spacing w:line="400" w:lineRule="exact"/>
                    <w:jc w:val="both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在线行为智能调研系统</w:t>
                  </w:r>
                </w:p>
              </w:tc>
              <w:tc>
                <w:tcPr>
                  <w:tcW w:w="766" w:type="dxa"/>
                  <w:vAlign w:val="center"/>
                </w:tcPr>
                <w:p w14:paraId="6CF1DCA8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239" w:type="dxa"/>
                  <w:vAlign w:val="center"/>
                </w:tcPr>
                <w:p w14:paraId="45FCA7A2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60000</w:t>
                  </w:r>
                </w:p>
              </w:tc>
              <w:tc>
                <w:tcPr>
                  <w:tcW w:w="1563" w:type="dxa"/>
                  <w:vAlign w:val="center"/>
                </w:tcPr>
                <w:p w14:paraId="6CCA9701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60000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38D24B87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</w:p>
              </w:tc>
            </w:tr>
            <w:tr w14:paraId="23732A0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886" w:type="dxa"/>
                  <w:gridSpan w:val="4"/>
                  <w:vAlign w:val="center"/>
                </w:tcPr>
                <w:p w14:paraId="42A4DCBB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小计</w:t>
                  </w:r>
                </w:p>
              </w:tc>
              <w:tc>
                <w:tcPr>
                  <w:tcW w:w="1563" w:type="dxa"/>
                  <w:vAlign w:val="center"/>
                </w:tcPr>
                <w:p w14:paraId="5BE98C2E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538000</w:t>
                  </w:r>
                </w:p>
              </w:tc>
              <w:tc>
                <w:tcPr>
                  <w:tcW w:w="1432" w:type="dxa"/>
                  <w:vAlign w:val="center"/>
                </w:tcPr>
                <w:p w14:paraId="2EE6BBF9">
                  <w:pPr>
                    <w:widowControl w:val="0"/>
                    <w:spacing w:line="400" w:lineRule="exact"/>
                    <w:jc w:val="center"/>
                    <w:rPr>
                      <w:rFonts w:hint="eastAsia" w:ascii="宋体" w:hAnsi="宋体" w:cs="宋体"/>
                      <w:sz w:val="18"/>
                      <w:szCs w:val="18"/>
                    </w:rPr>
                  </w:pPr>
                  <w:r>
                    <w:rPr>
                      <w:rFonts w:hint="eastAsia" w:ascii="宋体" w:hAnsi="宋体" w:cs="宋体"/>
                      <w:sz w:val="18"/>
                      <w:szCs w:val="18"/>
                    </w:rPr>
                    <w:t>/</w:t>
                  </w:r>
                </w:p>
              </w:tc>
            </w:tr>
          </w:tbl>
          <w:p w14:paraId="639B4879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b/>
                <w:bCs/>
                <w:sz w:val="18"/>
                <w:szCs w:val="18"/>
              </w:rPr>
            </w:pPr>
          </w:p>
        </w:tc>
      </w:tr>
      <w:tr w14:paraId="44CC25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060285C7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770" w:type="dxa"/>
            <w:vAlign w:val="center"/>
          </w:tcPr>
          <w:p w14:paraId="20B9FECB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便携式脑电实验单元</w:t>
            </w:r>
          </w:p>
        </w:tc>
        <w:tc>
          <w:tcPr>
            <w:tcW w:w="7107" w:type="dxa"/>
            <w:vAlign w:val="center"/>
          </w:tcPr>
          <w:p w14:paraId="3315D1C4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功能描述：脑电及多生理信号同步采集，捕捉决策过程中的大脑活动模式。支持多人同步、多设备同步。可实时分析脑电时频特征，结合眼动、视频等多模态数据，解析消费者注意力分配、决策偏好及认知反应。</w:t>
            </w:r>
          </w:p>
          <w:p w14:paraId="671D1D80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1、▲导联数：单级脑电导联≥64导，生理通道数≥8个双极通道；</w:t>
            </w:r>
          </w:p>
          <w:p w14:paraId="6301946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2、▲可同时采集心电、眼电（VEOG、HEOG）、皮电、血氧、脉搏、心率等生理参数；</w:t>
            </w:r>
          </w:p>
          <w:p w14:paraId="4EA762F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3、▲采样率:≥8000 Hz/导，输入阻抗:≥1GOhms；</w:t>
            </w:r>
          </w:p>
          <w:p w14:paraId="068CDAB4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4、带宽:DC～2000 Hz,</w:t>
            </w:r>
          </w:p>
          <w:p w14:paraId="64AEE29C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5、A/D 转换分辨率≥24Bit；</w:t>
            </w:r>
          </w:p>
          <w:p w14:paraId="243875DB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6、共模抑制比:≥110dB；</w:t>
            </w:r>
          </w:p>
          <w:p w14:paraId="250E1DB7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7、输入噪声:≤2,5uVpp；</w:t>
            </w:r>
          </w:p>
          <w:p w14:paraId="2996B013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8、灵敏度: ≤28nV/bit；</w:t>
            </w:r>
          </w:p>
          <w:p w14:paraId="14EDA465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9、输入范围: ≥± 370mV；</w:t>
            </w:r>
          </w:p>
          <w:p w14:paraId="7BC861D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10、▲支持升级至128通道，升级后单设备可支持2人同步采集64导联电生理信号，并提供2套独立的GND和REF通道；</w:t>
            </w:r>
          </w:p>
          <w:p w14:paraId="515EB3A6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11、数据同步：放大器和触发盒可实现无线/有线同步，支持串、并口同步输入输出，事件同步精度≤1ms。触发盒支持声、光、电、按键等多种刺激事件同步；</w:t>
            </w:r>
          </w:p>
          <w:p w14:paraId="391EBDD9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12、数据传输：WIFI/USB有线传输；</w:t>
            </w:r>
          </w:p>
          <w:p w14:paraId="6B65FFCD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13、电源：内置可充电电池供电；电池支持快充，单次充电可连续工作≥6h；</w:t>
            </w:r>
          </w:p>
          <w:p w14:paraId="431350BC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14、设备可直接接入多模态脑电教学实验系统，并实现脑电、眼动、视频、音频等信号同步导入；</w:t>
            </w:r>
          </w:p>
          <w:p w14:paraId="2DA3BC8B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15、支持软件平台通过服务端/客户端互联方式；</w:t>
            </w:r>
          </w:p>
          <w:p w14:paraId="7D84DA43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16、支持实时脑电时频域特征分析，实时展示各频段多色脑电频谱图，支持多色彩编码，确保高分辨率频谱展示，以揭示不同频率范围内的脑电波活动模式；</w:t>
            </w:r>
          </w:p>
          <w:p w14:paraId="16855DDC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17、实现与本次采购的眼动轨迹追踪采集单元等同步</w:t>
            </w:r>
          </w:p>
          <w:p w14:paraId="267F8F58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18、支持眼动注视轨迹实时展示，支持实时眼动注视轨迹叠加刺激屏幕展示与注视点坐标波形展示；</w:t>
            </w:r>
          </w:p>
          <w:p w14:paraId="06AAF851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19、支持通过系统平台进行头部3D位置实时展示（实时的头部位置3D 坐标与位置波形展示）。</w:t>
            </w:r>
          </w:p>
          <w:p w14:paraId="6804EAA1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20、支持通过系统平台进行眼动瞳孔直径实时展示（实时双眼瞳孔直径波形展示）；</w:t>
            </w:r>
          </w:p>
          <w:p w14:paraId="7DF453F0">
            <w:pPr>
              <w:spacing w:line="240" w:lineRule="auto"/>
              <w:ind w:firstLine="360" w:firstLineChars="200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21、★支持通过配套的128导电极帽，将两台64导便携式脑电实验单元组合使用，合并后系统整体识别并采集为128导数据。</w:t>
            </w:r>
          </w:p>
        </w:tc>
      </w:tr>
      <w:tr w14:paraId="6CAB558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2A444266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70" w:type="dxa"/>
          </w:tcPr>
          <w:p w14:paraId="676AB6E6">
            <w:pPr>
              <w:spacing w:line="340" w:lineRule="exac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眼动轨迹追踪采集单元</w:t>
            </w:r>
          </w:p>
        </w:tc>
        <w:tc>
          <w:tcPr>
            <w:tcW w:w="7107" w:type="dxa"/>
          </w:tcPr>
          <w:p w14:paraId="7BF9381A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功能描述：采用遥测暗瞳技术实现双眼追踪。软件支持多范式设计与全流程分析，可提取注视轨迹、瞳孔变化等关键参数，生成热力图与动态分析结果。</w:t>
            </w:r>
          </w:p>
          <w:p w14:paraId="693F8AA9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1.遥测式；</w:t>
            </w:r>
          </w:p>
          <w:p w14:paraId="08ACDDAC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2.▲采集方式：双眼采集，全视域追踪；</w:t>
            </w:r>
          </w:p>
          <w:p w14:paraId="1CD70921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3.▲采样率：≥250Hz（双眼同时采集）；</w:t>
            </w:r>
          </w:p>
          <w:p w14:paraId="2B584CCE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4.平均精准度：≤0.5°；</w:t>
            </w:r>
          </w:p>
          <w:p w14:paraId="18B703A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5.空间分辨率：≤0.3°；</w:t>
            </w:r>
          </w:p>
          <w:p w14:paraId="64AFF32C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6.▲3D眼动跟踪算法，自由头动范围：≥25cmx15cm @65cm；</w:t>
            </w:r>
          </w:p>
          <w:p w14:paraId="4C0CE7D0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7.屏幕分辨率：≥1920（水平）*1080（垂直）ppi；</w:t>
            </w:r>
          </w:p>
          <w:p w14:paraId="2A44386D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8.操作距离：适配50-80cm；</w:t>
            </w:r>
          </w:p>
          <w:p w14:paraId="5538ED1B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9.刺激呈现设备：可连接笔记本或其他显示设备；</w:t>
            </w:r>
          </w:p>
          <w:p w14:paraId="5C1D601A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10.摄像头像素：≥200万，≥120Hz；</w:t>
            </w:r>
          </w:p>
          <w:p w14:paraId="33E476E9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11.支持室内自然光下进行检测；</w:t>
            </w:r>
          </w:p>
          <w:p w14:paraId="01BB4127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12.软件集实验设计、数据采集和数据分析功能于一体；</w:t>
            </w:r>
          </w:p>
          <w:p w14:paraId="5A11170B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highlight w:val="none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13.软件可跟随眼动对瞳孔进行追踪；软件可通过相机采集人眼基于特定眼动范式下的运动图像数据，进行实时分析处理，</w:t>
            </w:r>
            <w:r>
              <w:rPr>
                <w:rFonts w:ascii="宋体" w:hAnsi="宋体" w:eastAsia="宋体" w:cs="宋体"/>
                <w:sz w:val="18"/>
                <w:szCs w:val="18"/>
                <w:highlight w:val="none"/>
                <w:lang w:eastAsia="zh-CN"/>
              </w:rPr>
              <w:t>提取出丰富的眼动参数，如：靶点方向、眼跳、第一步眼跳幅度、主眼跳幅度增益、眼跳步数、眼跳峰值速度、潜伏期、空间误差、眨眼、落点误差等参数；</w:t>
            </w:r>
          </w:p>
          <w:p w14:paraId="4EF62AB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14.软件支持多种多点自动校准模式；</w:t>
            </w:r>
          </w:p>
          <w:p w14:paraId="0F203746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15.软件支持单左眼、单右眼、双眼追踪等多种眼动追踪方式；</w:t>
            </w:r>
          </w:p>
          <w:p w14:paraId="193C0220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16.语言切换，至少支持中英文切换；</w:t>
            </w:r>
          </w:p>
          <w:p w14:paraId="34300EFF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17.软件支持多种眼动行为范式；</w:t>
            </w:r>
          </w:p>
          <w:p w14:paraId="005E15DF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18.▲软件支持通过D/A转换模块传输眼位置信号，能与Monkey- Logic 等平台交互；支持通过网络传输眼位置数字信号，与 Matlab或第三方软件交互；支持通过串口或并口的方式与第三方脑电进行数据交互与同步。同步时差≤5毫秒；</w:t>
            </w:r>
          </w:p>
          <w:p w14:paraId="49853F8E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19.支持眼动数据分析软件，覆盖从基础数据处理到高级可视化的全流程分析需求，适用于心理学实验、临床评估等眼动研究场景，核心功能包含眼动轨迹解析、注视点检测、热力图生成及多维度参数提取。</w:t>
            </w:r>
            <w:r>
              <w:rPr>
                <w:rFonts w:ascii="宋体" w:hAnsi="宋体" w:eastAsia="宋体" w:cs="宋体"/>
                <w:sz w:val="18"/>
                <w:szCs w:val="18"/>
                <w:highlight w:val="none"/>
                <w:lang w:eastAsia="zh-CN"/>
              </w:rPr>
              <w:t>其核心模块与技术功能主要有三方面：一是多范式数据处理系统，支持正向眼动、反向眼动、记忆眼动、双步眼动等传统扫视类眼动任务的数据可视化分析；支持Exploration Eye Movement(EEM)任务可视化分析,可视化呈现注视点轨迹图、注视人力图，支持眼动轨迹动态回放，可提供注视相关的参数（包含：凝视点数量、反应探索评分、注视热力图、眼跳总幅度、眼跳平均幅度、D值等多种注视、扫视眼动参数，以及复合参数）；支持视频类眼动任务可视化分析，支持基于视频的动态注视热力图；支持批量处理与数据管理，支持正向、反向、记忆、双步等经典眼动任务的数据批量处理与导出，包括多个受试者数据批量处理，处理后的数据包括眼动轨迹图、以及相应的眼动参数表。</w:t>
            </w: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提供开发工具。</w:t>
            </w:r>
          </w:p>
        </w:tc>
      </w:tr>
      <w:tr w14:paraId="77FADD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040E2505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770" w:type="dxa"/>
          </w:tcPr>
          <w:p w14:paraId="51AD9988">
            <w:pPr>
              <w:spacing w:line="340" w:lineRule="exac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智能体征采集单元</w:t>
            </w:r>
          </w:p>
        </w:tc>
        <w:tc>
          <w:tcPr>
            <w:tcW w:w="7107" w:type="dxa"/>
          </w:tcPr>
          <w:p w14:paraId="1010450E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功能描述：用于生理应激与情绪反应的多维度采集监测。同步采集心电、眼电（VEOG、HEOG）、皮电、血氧、脉搏、心率等多项体征，实时记录并存储数据，自动分离事件标记。支持多人同步采集，兼容主流刺激呈现系统。</w:t>
            </w:r>
          </w:p>
          <w:p w14:paraId="79168067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1.配置多导生理模块，可同时采集心电、眼电（VEOG、HEOG）、皮电、血氧、脉搏、心率等生理参数；</w:t>
            </w:r>
          </w:p>
          <w:p w14:paraId="1AF7D9A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2.支持实时连续或分段采集；</w:t>
            </w:r>
          </w:p>
          <w:p w14:paraId="0BF59408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3.被试数据可以实时在线观察并同时存储，支持离线分析；</w:t>
            </w:r>
          </w:p>
          <w:p w14:paraId="18136975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4.在数据采集过程中所有事件均支持在线和离线自动检测并记录，反应代码和刺激代码可以分离并导出；</w:t>
            </w:r>
          </w:p>
          <w:p w14:paraId="20808F18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5.记录电极和参考电极可根据实验要求任意选择记录位置；</w:t>
            </w:r>
          </w:p>
          <w:p w14:paraId="5D30A7C9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6.通过触发盒可实现≥10人同步数据采集；</w:t>
            </w:r>
          </w:p>
          <w:p w14:paraId="3AFF3A54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7.可提供实时原始数据API接口和LSL接口GUI软件，支持MATLAB、python、c++环境下的开发工具进行二次开发；开放API接口，支持LSL推流；</w:t>
            </w:r>
          </w:p>
          <w:p w14:paraId="3627CDBF">
            <w:pPr>
              <w:pStyle w:val="6"/>
              <w:spacing w:line="340" w:lineRule="exact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8.数据采集软件独立，保证数据可视化的同时记录原始数据，软件兼容E-prime、Presentation、Psychtoolbox等刺激呈现系统；</w:t>
            </w:r>
          </w:p>
        </w:tc>
      </w:tr>
      <w:tr w14:paraId="6124D12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5" w:type="dxa"/>
            <w:vAlign w:val="center"/>
          </w:tcPr>
          <w:p w14:paraId="46FF2C4A">
            <w:pPr>
              <w:pStyle w:val="6"/>
              <w:spacing w:line="340" w:lineRule="exact"/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770" w:type="dxa"/>
          </w:tcPr>
          <w:p w14:paraId="4B374373">
            <w:pPr>
              <w:spacing w:line="340" w:lineRule="exact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在线行为智能调研单元</w:t>
            </w:r>
          </w:p>
        </w:tc>
        <w:tc>
          <w:tcPr>
            <w:tcW w:w="7107" w:type="dxa"/>
          </w:tcPr>
          <w:p w14:paraId="737477AD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功能描述：支持试次一致性分析、ERP叠加平均等算法，实现数据预处理与可视化。可同步采集与回放多被试体征及行为视频，研究神经与行为数据间的关联。</w:t>
            </w:r>
          </w:p>
          <w:p w14:paraId="273DA65C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1.支持试次相干性分析，可评估试次数据的一致性及可信度；</w:t>
            </w:r>
          </w:p>
          <w:p w14:paraId="50845602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2.支持ERP叠加平均、被试间总平均、时域特征提取（波幅，潜伏期，峰值），可绘制2D、3D地形图；</w:t>
            </w:r>
          </w:p>
          <w:p w14:paraId="22CEA92E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3.具有常用数据预处理功能，如：滤波、插值坏导、基线矫正、叠加平均、ICA等伪迹去除算法；</w:t>
            </w:r>
          </w:p>
          <w:p w14:paraId="149F56BA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4.支持单套软件实时采集和实时显示多名受试者的体征信号数据，支持≥</w:t>
            </w:r>
            <w:r>
              <w:rPr>
                <w:rFonts w:hint="eastAsia" w:ascii="宋体" w:hAnsi="宋体" w:cs="宋体"/>
                <w:sz w:val="18"/>
                <w:szCs w:val="18"/>
                <w:highlight w:val="none"/>
              </w:rPr>
              <w:t>2</w:t>
            </w:r>
            <w:r>
              <w:rPr>
                <w:rFonts w:hint="eastAsia" w:ascii="宋体" w:hAnsi="宋体" w:cs="宋体"/>
                <w:sz w:val="18"/>
                <w:szCs w:val="18"/>
              </w:rPr>
              <w:t>人多人采集界面分屏显示，支持按照数据名称进行数据回放；</w:t>
            </w:r>
          </w:p>
          <w:p w14:paraId="3118B079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5.支持在线体征（如脑电）信号-视频信号同步记录，可实现行为视频数据和脑电数据同步回放；</w:t>
            </w:r>
          </w:p>
          <w:p w14:paraId="2F151C27">
            <w:pPr>
              <w:keepLines/>
              <w:kinsoku w:val="0"/>
              <w:adjustRightInd w:val="0"/>
              <w:snapToGrid w:val="0"/>
              <w:spacing w:before="135" w:after="160"/>
              <w:textAlignment w:val="baseline"/>
              <w:rPr>
                <w:rFonts w:hint="eastAsia" w:ascii="宋体" w:hAnsi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6.问卷发布渠道支持自有样本库、匿名作答、连接二维码发布等，支持对被试进行质量控制设置，包括作答次数、历史采纳率、信用分、IP地址限定等，支持对被试进行样本特征限定，如国家、性别、年龄、职业、收入等；</w:t>
            </w:r>
          </w:p>
        </w:tc>
      </w:tr>
    </w:tbl>
    <w:p w14:paraId="26EBFC86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834E21"/>
    <w:rsid w:val="3C4E5083"/>
    <w:rsid w:val="4D83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table" w:styleId="4">
    <w:name w:val="Table Grid"/>
    <w:basedOn w:val="3"/>
    <w:qFormat/>
    <w:uiPriority w:val="59"/>
    <w:pPr>
      <w:widowControl w:val="0"/>
      <w:jc w:val="both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2566</Words>
  <Characters>2892</Characters>
  <Lines>0</Lines>
  <Paragraphs>0</Paragraphs>
  <TotalTime>0</TotalTime>
  <ScaleCrop>false</ScaleCrop>
  <LinksUpToDate>false</LinksUpToDate>
  <CharactersWithSpaces>2905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2026-07-07T07:46:00Z</dcterms:created>
  <dc:creator>123</dc:creator>
  <cp:lastModifiedBy>123</cp:lastModifiedBy>
  <dcterms:modified xsi:type="dcterms:W3CDTF">2026-07-07T10:02:24Z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B3CCC48AD82F43B8BB1B0C098A5F0A33_11</vt:lpwstr>
  </property>
  <property fmtid="{D5CDD505-2E9C-101B-9397-08002B2CF9AE}" pid="4" name="KSOTemplateDocerSaveRecord">
    <vt:lpwstr>eyJoZGlkIjoiOTEzYTE1NjhmYmI0MDkxYmE1ZjVkMjkwNjA2M2Q0ZDUiLCJ1c2VySWQiOiI0NTE5NDQwNTQifQ==</vt:lpwstr>
  </property>
</Properties>
</file>