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版本号：QHY-2026-ZB-02220260722001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机关廉政灶采买服务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QHY-2026-ZB-022</w:t>
      </w:r>
      <w:r>
        <w:br/>
      </w:r>
      <w:r>
        <w:br/>
      </w:r>
      <w:r>
        <w:br/>
      </w:r>
    </w:p>
    <w:p>
      <w:pPr>
        <w:pStyle w:val="null3"/>
        <w:jc w:val="center"/>
        <w:outlineLvl w:val="2"/>
      </w:pPr>
      <w:r>
        <w:rPr>
          <w:rFonts w:ascii="仿宋_GB2312" w:hAnsi="仿宋_GB2312" w:cs="仿宋_GB2312" w:eastAsia="仿宋_GB2312"/>
          <w:sz w:val="28"/>
          <w:b/>
        </w:rPr>
        <w:t>西安市未央区大明宫街道办事处</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西安市未央区大明宫街道办事处</w:t>
      </w:r>
      <w:r>
        <w:rPr>
          <w:rFonts w:ascii="仿宋_GB2312" w:hAnsi="仿宋_GB2312" w:cs="仿宋_GB2312" w:eastAsia="仿宋_GB2312"/>
        </w:rPr>
        <w:t>委托，拟对</w:t>
      </w:r>
      <w:r>
        <w:rPr>
          <w:rFonts w:ascii="仿宋_GB2312" w:hAnsi="仿宋_GB2312" w:cs="仿宋_GB2312" w:eastAsia="仿宋_GB2312"/>
        </w:rPr>
        <w:t>机关廉政灶采买服务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机关廉政灶采买服务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机关廉政灶采买服务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采购包1（机关廉政灶采买服务）：属于专门面向中小企业采购。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2、企业资质：供应商为生产企业的须提供有效的《食品生产许可证》及《食品经营许可证》；供应商为代理商的须提供有效的《食品经营许可证》。</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西安市未央区大明宫街道办事处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西安市未央区大明宫街道凤城一路与仪凤巷十字往南100米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李泽鹏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13152137318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采购包1：632,320.00元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单位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西安市未央区大明宫街道办事处</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西安市未央区大明宫街道办事处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西安市未央区大明宫街道办事处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机关廉政灶采买服务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632,320.00</w:t>
      </w:r>
    </w:p>
    <w:p>
      <w:pPr>
        <w:pStyle w:val="null3"/>
      </w:pPr>
      <w:r>
        <w:rPr>
          <w:rFonts w:ascii="仿宋_GB2312" w:hAnsi="仿宋_GB2312" w:cs="仿宋_GB2312" w:eastAsia="仿宋_GB2312"/>
        </w:rPr>
        <w:t>采购包最高限价（元）: 632,320.00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机关廉政灶采买服务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632,320.00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标的名称：机关廉政灶采买服务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一、采购内容</w:t>
            </w:r>
          </w:p>
          <w:p>
            <w:pPr>
              <w:pStyle w:val="null3"/>
              <w:ind w:firstLine="480"/>
              <w:jc w:val="both"/>
            </w:pPr>
            <w:r>
              <w:rPr>
                <w:rFonts w:ascii="仿宋_GB2312" w:hAnsi="仿宋_GB2312" w:cs="仿宋_GB2312" w:eastAsia="仿宋_GB2312"/>
                <w:sz w:val="24"/>
                <w:color w:val="000000"/>
              </w:rPr>
              <w:t>本次招标内容主要为西安市未央区大明宫街道办事处提供食材采购，供应商需根据采购人要求提供其食堂所需的主副食品，主要内容包括调味品及其他类</w:t>
            </w:r>
            <w:r>
              <w:rPr>
                <w:rFonts w:ascii="仿宋_GB2312" w:hAnsi="仿宋_GB2312" w:cs="仿宋_GB2312" w:eastAsia="仿宋_GB2312"/>
                <w:sz w:val="24"/>
                <w:color w:val="000000"/>
              </w:rPr>
              <w:t>、</w:t>
            </w:r>
            <w:r>
              <w:rPr>
                <w:rFonts w:ascii="仿宋_GB2312" w:hAnsi="仿宋_GB2312" w:cs="仿宋_GB2312" w:eastAsia="仿宋_GB2312"/>
                <w:sz w:val="24"/>
                <w:color w:val="000000"/>
              </w:rPr>
              <w:t>食用油</w:t>
            </w:r>
            <w:r>
              <w:rPr>
                <w:rFonts w:ascii="仿宋_GB2312" w:hAnsi="仿宋_GB2312" w:cs="仿宋_GB2312" w:eastAsia="仿宋_GB2312"/>
                <w:sz w:val="24"/>
                <w:color w:val="000000"/>
              </w:rPr>
              <w:t>、</w:t>
            </w:r>
            <w:r>
              <w:rPr>
                <w:rFonts w:ascii="仿宋_GB2312" w:hAnsi="仿宋_GB2312" w:cs="仿宋_GB2312" w:eastAsia="仿宋_GB2312"/>
                <w:sz w:val="24"/>
                <w:color w:val="000000"/>
              </w:rPr>
              <w:t>大米</w:t>
            </w:r>
            <w:r>
              <w:rPr>
                <w:rFonts w:ascii="仿宋_GB2312" w:hAnsi="仿宋_GB2312" w:cs="仿宋_GB2312" w:eastAsia="仿宋_GB2312"/>
                <w:sz w:val="24"/>
                <w:color w:val="000000"/>
              </w:rPr>
              <w:t>、</w:t>
            </w:r>
            <w:r>
              <w:rPr>
                <w:rFonts w:ascii="仿宋_GB2312" w:hAnsi="仿宋_GB2312" w:cs="仿宋_GB2312" w:eastAsia="仿宋_GB2312"/>
                <w:sz w:val="24"/>
                <w:color w:val="000000"/>
              </w:rPr>
              <w:t>面粉</w:t>
            </w:r>
            <w:r>
              <w:rPr>
                <w:rFonts w:ascii="仿宋_GB2312" w:hAnsi="仿宋_GB2312" w:cs="仿宋_GB2312" w:eastAsia="仿宋_GB2312"/>
                <w:sz w:val="24"/>
                <w:color w:val="000000"/>
              </w:rPr>
              <w:t>、豆制品、</w:t>
            </w:r>
            <w:r>
              <w:rPr>
                <w:rFonts w:ascii="仿宋_GB2312" w:hAnsi="仿宋_GB2312" w:cs="仿宋_GB2312" w:eastAsia="仿宋_GB2312"/>
                <w:sz w:val="24"/>
                <w:color w:val="000000"/>
              </w:rPr>
              <w:t>蔬菜</w:t>
            </w:r>
            <w:r>
              <w:rPr>
                <w:rFonts w:ascii="仿宋_GB2312" w:hAnsi="仿宋_GB2312" w:cs="仿宋_GB2312" w:eastAsia="仿宋_GB2312"/>
                <w:sz w:val="24"/>
                <w:color w:val="000000"/>
              </w:rPr>
              <w:t>、</w:t>
            </w:r>
            <w:r>
              <w:rPr>
                <w:rFonts w:ascii="仿宋_GB2312" w:hAnsi="仿宋_GB2312" w:cs="仿宋_GB2312" w:eastAsia="仿宋_GB2312"/>
                <w:sz w:val="24"/>
                <w:color w:val="000000"/>
              </w:rPr>
              <w:t>大肉类</w:t>
            </w:r>
            <w:r>
              <w:rPr>
                <w:rFonts w:ascii="仿宋_GB2312" w:hAnsi="仿宋_GB2312" w:cs="仿宋_GB2312" w:eastAsia="仿宋_GB2312"/>
                <w:sz w:val="24"/>
                <w:color w:val="000000"/>
              </w:rPr>
              <w:t>、</w:t>
            </w:r>
            <w:r>
              <w:rPr>
                <w:rFonts w:ascii="仿宋_GB2312" w:hAnsi="仿宋_GB2312" w:cs="仿宋_GB2312" w:eastAsia="仿宋_GB2312"/>
                <w:sz w:val="24"/>
                <w:color w:val="000000"/>
              </w:rPr>
              <w:t>水果类</w:t>
            </w:r>
            <w:r>
              <w:rPr>
                <w:rFonts w:ascii="仿宋_GB2312" w:hAnsi="仿宋_GB2312" w:cs="仿宋_GB2312" w:eastAsia="仿宋_GB2312"/>
                <w:sz w:val="24"/>
                <w:color w:val="000000"/>
              </w:rPr>
              <w:t>、</w:t>
            </w:r>
            <w:r>
              <w:rPr>
                <w:rFonts w:ascii="仿宋_GB2312" w:hAnsi="仿宋_GB2312" w:cs="仿宋_GB2312" w:eastAsia="仿宋_GB2312"/>
                <w:sz w:val="24"/>
                <w:color w:val="000000"/>
              </w:rPr>
              <w:t>水产类</w:t>
            </w:r>
            <w:r>
              <w:rPr>
                <w:rFonts w:ascii="仿宋_GB2312" w:hAnsi="仿宋_GB2312" w:cs="仿宋_GB2312" w:eastAsia="仿宋_GB2312"/>
                <w:sz w:val="24"/>
                <w:color w:val="000000"/>
              </w:rPr>
              <w:t>、</w:t>
            </w:r>
            <w:r>
              <w:rPr>
                <w:rFonts w:ascii="仿宋_GB2312" w:hAnsi="仿宋_GB2312" w:cs="仿宋_GB2312" w:eastAsia="仿宋_GB2312"/>
                <w:sz w:val="24"/>
                <w:color w:val="000000"/>
              </w:rPr>
              <w:t>禽蛋类等物资的采购及配送</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二、用餐数量及标准</w:t>
            </w:r>
          </w:p>
          <w:p>
            <w:pPr>
              <w:pStyle w:val="null3"/>
              <w:ind w:firstLine="480"/>
              <w:jc w:val="both"/>
            </w:pPr>
            <w:r>
              <w:rPr>
                <w:rFonts w:ascii="仿宋_GB2312" w:hAnsi="仿宋_GB2312" w:cs="仿宋_GB2312" w:eastAsia="仿宋_GB2312"/>
                <w:sz w:val="24"/>
                <w:color w:val="000000"/>
              </w:rPr>
              <w:t>1.正常工作日人数约为</w:t>
            </w:r>
            <w:r>
              <w:rPr>
                <w:rFonts w:ascii="仿宋_GB2312" w:hAnsi="仿宋_GB2312" w:cs="仿宋_GB2312" w:eastAsia="仿宋_GB2312"/>
                <w:sz w:val="24"/>
                <w:color w:val="000000"/>
              </w:rPr>
              <w:t>236</w:t>
            </w:r>
            <w:r>
              <w:rPr>
                <w:rFonts w:ascii="仿宋_GB2312" w:hAnsi="仿宋_GB2312" w:cs="仿宋_GB2312" w:eastAsia="仿宋_GB2312"/>
                <w:sz w:val="24"/>
                <w:color w:val="000000"/>
              </w:rPr>
              <w:t>人。</w:t>
            </w:r>
          </w:p>
          <w:p>
            <w:pPr>
              <w:pStyle w:val="null3"/>
              <w:ind w:firstLine="480"/>
              <w:jc w:val="both"/>
            </w:pPr>
            <w:r>
              <w:rPr>
                <w:rFonts w:ascii="仿宋_GB2312" w:hAnsi="仿宋_GB2312" w:cs="仿宋_GB2312" w:eastAsia="仿宋_GB2312"/>
                <w:sz w:val="24"/>
                <w:color w:val="000000"/>
              </w:rPr>
              <w:t>2.一般为工作日供货；节假日用餐人数及供货由采购人临时通知。</w:t>
            </w:r>
          </w:p>
          <w:p>
            <w:pPr>
              <w:pStyle w:val="null3"/>
              <w:jc w:val="both"/>
            </w:pPr>
            <w:r>
              <w:rPr>
                <w:rFonts w:ascii="仿宋_GB2312" w:hAnsi="仿宋_GB2312" w:cs="仿宋_GB2312" w:eastAsia="仿宋_GB2312"/>
                <w:sz w:val="24"/>
                <w:b/>
                <w:color w:val="000000"/>
              </w:rPr>
              <w:t>三、包装与质量要求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所有货物外包装完好无破损渗漏，内部食材无霉变、腐烂、严重变形，不存在危及人身、财产安全的隐患。</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预包装食品标签严格执行《食品安全国家标准预包装食品标签通则》（</w:t>
            </w:r>
            <w:r>
              <w:rPr>
                <w:rFonts w:ascii="仿宋_GB2312" w:hAnsi="仿宋_GB2312" w:cs="仿宋_GB2312" w:eastAsia="仿宋_GB2312"/>
                <w:sz w:val="24"/>
                <w:color w:val="000000"/>
              </w:rPr>
              <w:t>GB 7718-2011），完整标注食品名称、配料表、净含量规格、生产者/经销者名称地址联系方式、生产日期、保质期、贮存条件、食品生产许可证号、产品标准代号等法定内容。</w:t>
            </w:r>
          </w:p>
          <w:p>
            <w:pPr>
              <w:pStyle w:val="null3"/>
              <w:ind w:firstLine="480"/>
              <w:jc w:val="both"/>
            </w:pPr>
            <w:r>
              <w:rPr>
                <w:rFonts w:ascii="仿宋_GB2312" w:hAnsi="仿宋_GB2312" w:cs="仿宋_GB2312" w:eastAsia="仿宋_GB2312"/>
                <w:sz w:val="24"/>
                <w:color w:val="000000"/>
              </w:rPr>
              <w:t>3.供应商</w:t>
            </w:r>
            <w:r>
              <w:rPr>
                <w:rFonts w:ascii="仿宋_GB2312" w:hAnsi="仿宋_GB2312" w:cs="仿宋_GB2312" w:eastAsia="仿宋_GB2312"/>
                <w:sz w:val="24"/>
                <w:color w:val="000000"/>
              </w:rPr>
              <w:t>供应全部食品须符合《中华人民共和国食品安全法》《中华人民共和国产品质量法》及国家食品安全强制标准；无国家标准的优先执行省级食品安全地方标准；无国标、地标的执行行业标准；无行标则执行行业通用标准或合同约定标准。严禁供应腐败变质、酸败、霉变、生虫、污秽混异物、感官异常、有毒有害或被污染食材；包装标识与实物必须一致，包装费用全部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承担；包装不符合标准造成食材损毁、食品安全事故及</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损失，全部责任与赔偿由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承担。</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严禁供应未经检疫、检疫不合格的畜禽生鲜及肉制品；带骨肉制品按甲方要求规范切块。每批次肉类须随货提供《动物检疫合格证明》《肉品品质检验合格证》；每批次蔬菜提供对应农药残留检测报告，</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可随时抽查核验；若合格证明与当批次货品不符，</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须免费无条件退换货。</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严禁供应来源不明、无合格证明、无产品信息的散装三无食材。</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食材送达</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现场验收时，若发现变质、霉变、生虫、混有异物、有毒有害等质量问题，</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须当日完成免费更换，由此产生的全部损失由</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承担。</w:t>
            </w:r>
          </w:p>
          <w:p>
            <w:pPr>
              <w:pStyle w:val="null3"/>
              <w:ind w:firstLine="480"/>
              <w:jc w:val="both"/>
            </w:pPr>
            <w:r>
              <w:rPr>
                <w:rFonts w:ascii="仿宋_GB2312" w:hAnsi="仿宋_GB2312" w:cs="仿宋_GB2312" w:eastAsia="仿宋_GB2312"/>
                <w:sz w:val="24"/>
                <w:color w:val="000000"/>
              </w:rPr>
              <w:t>7.供应商</w:t>
            </w:r>
            <w:r>
              <w:rPr>
                <w:rFonts w:ascii="仿宋_GB2312" w:hAnsi="仿宋_GB2312" w:cs="仿宋_GB2312" w:eastAsia="仿宋_GB2312"/>
                <w:sz w:val="24"/>
                <w:color w:val="000000"/>
              </w:rPr>
              <w:t>严格按照</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订单载明的食材品名、规格、数量及时配送；供货规格、数量、品质不达要求的，</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须立即调换，不得影响甲方正常使用。</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预包装干货、调味品、冻品等标注保质期的货品送达时，剩余保质期不得少于产品总保质期三分之二；生鲜肉、菜、蛋等食用农产品不适用本条保质期约定。</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若因供应食材质量问题引发</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人员食物中毒、食品安全事件，供应商将承担相应的法律责任。</w:t>
            </w:r>
          </w:p>
          <w:p>
            <w:pPr>
              <w:pStyle w:val="null3"/>
              <w:ind w:firstLine="480"/>
              <w:jc w:val="both"/>
            </w:pPr>
            <w:r>
              <w:rPr>
                <w:rFonts w:ascii="仿宋_GB2312" w:hAnsi="仿宋_GB2312" w:cs="仿宋_GB2312" w:eastAsia="仿宋_GB2312"/>
                <w:sz w:val="24"/>
                <w:color w:val="000000"/>
              </w:rPr>
              <w:t>10.供应商配送的食品应无毒、无害，具有完好的形、色、香、味等性状，并符合下述质量要求</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1）调味品及其他类：</w:t>
            </w:r>
          </w:p>
          <w:p>
            <w:pPr>
              <w:pStyle w:val="null3"/>
              <w:ind w:firstLine="480"/>
              <w:jc w:val="both"/>
            </w:pPr>
            <w:r>
              <w:rPr>
                <w:rFonts w:ascii="仿宋_GB2312" w:hAnsi="仿宋_GB2312" w:cs="仿宋_GB2312" w:eastAsia="仿宋_GB2312"/>
                <w:sz w:val="24"/>
                <w:color w:val="000000"/>
              </w:rPr>
              <w:t>产品无发霉、变质、异味，不得掺杂、掺假、掺水，干货无受潮结块；</w:t>
            </w:r>
          </w:p>
          <w:p>
            <w:pPr>
              <w:pStyle w:val="null3"/>
              <w:ind w:firstLine="480"/>
              <w:jc w:val="both"/>
            </w:pPr>
            <w:r>
              <w:rPr>
                <w:rFonts w:ascii="仿宋_GB2312" w:hAnsi="仿宋_GB2312" w:cs="仿宋_GB2312" w:eastAsia="仿宋_GB2312"/>
                <w:sz w:val="24"/>
                <w:color w:val="000000"/>
              </w:rPr>
              <w:t>产品外包装清晰标注产品名称、生产者名称、厂址，附带产品质量合格证明；</w:t>
            </w:r>
          </w:p>
          <w:p>
            <w:pPr>
              <w:pStyle w:val="null3"/>
              <w:ind w:firstLine="480"/>
              <w:jc w:val="both"/>
            </w:pPr>
            <w:r>
              <w:rPr>
                <w:rFonts w:ascii="仿宋_GB2312" w:hAnsi="仿宋_GB2312" w:cs="仿宋_GB2312" w:eastAsia="仿宋_GB2312"/>
                <w:sz w:val="24"/>
                <w:color w:val="000000"/>
              </w:rPr>
              <w:t>产品生产企业须取得合法有效的食品生产许可证（</w:t>
            </w:r>
            <w:r>
              <w:rPr>
                <w:rFonts w:ascii="仿宋_GB2312" w:hAnsi="仿宋_GB2312" w:cs="仿宋_GB2312" w:eastAsia="仿宋_GB2312"/>
                <w:sz w:val="24"/>
                <w:color w:val="000000"/>
              </w:rPr>
              <w:t>SC证书），产品质量符合《中华人民共和国食品安全法》及配套国家食品安全标准相关要求。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2）食用油</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食用油为非转基因一级食用植物油，仅限定型预包装，严禁散装油；大豆油执行</w:t>
            </w:r>
            <w:r>
              <w:rPr>
                <w:rFonts w:ascii="仿宋_GB2312" w:hAnsi="仿宋_GB2312" w:cs="仿宋_GB2312" w:eastAsia="仿宋_GB2312"/>
                <w:sz w:val="24"/>
                <w:color w:val="000000"/>
              </w:rPr>
              <w:t>GB/T1535-2017标准、菜籽油执行GB/T1536-2021标准，外包装完整无破损渗漏，包装清晰标注SC标识、产品名称、生产者厂名、净含量、生产日期、保质期、产品执行标准号，附带产品出厂合格证；货品送达采购人指定地点时，剩余保质期不得少于产品总保质期的三分之二；油品具备正常植物油色泽、透明度、气味与滋味，无浑浊沉淀、无焦臭味、酸败味及其他异味</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大米：</w:t>
            </w:r>
          </w:p>
          <w:p>
            <w:pPr>
              <w:pStyle w:val="null3"/>
              <w:ind w:firstLine="480"/>
              <w:jc w:val="both"/>
            </w:pPr>
            <w:r>
              <w:rPr>
                <w:rFonts w:ascii="仿宋_GB2312" w:hAnsi="仿宋_GB2312" w:cs="仿宋_GB2312" w:eastAsia="仿宋_GB2312"/>
                <w:sz w:val="24"/>
                <w:color w:val="000000"/>
              </w:rPr>
              <w:t>必须符合</w:t>
            </w:r>
            <w:r>
              <w:rPr>
                <w:rFonts w:ascii="仿宋_GB2312" w:hAnsi="仿宋_GB2312" w:cs="仿宋_GB2312" w:eastAsia="仿宋_GB2312"/>
                <w:sz w:val="24"/>
                <w:color w:val="000000"/>
              </w:rPr>
              <w:t>GB/T1354-2018大米质量标准，必须符合GB2715-2016粮食食品安全标准，</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“SC”食品生产许可证，无掺杂、无沙石，碎米少，无黄粒米；</w:t>
            </w:r>
            <w:r>
              <w:rPr>
                <w:rFonts w:ascii="仿宋_GB2312" w:hAnsi="仿宋_GB2312" w:cs="仿宋_GB2312" w:eastAsia="仿宋_GB2312"/>
                <w:sz w:val="24"/>
                <w:color w:val="000000"/>
              </w:rPr>
              <w:t>等级为</w:t>
            </w:r>
            <w:r>
              <w:rPr>
                <w:rFonts w:ascii="仿宋_GB2312" w:hAnsi="仿宋_GB2312" w:cs="仿宋_GB2312" w:eastAsia="仿宋_GB2312"/>
                <w:sz w:val="24"/>
                <w:color w:val="000000"/>
              </w:rPr>
              <w:t>二级及以上精米</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面粉：</w:t>
            </w:r>
          </w:p>
          <w:p>
            <w:pPr>
              <w:pStyle w:val="null3"/>
              <w:ind w:firstLine="422"/>
              <w:jc w:val="both"/>
            </w:pPr>
            <w:r>
              <w:rPr>
                <w:rFonts w:ascii="仿宋_GB2312" w:hAnsi="仿宋_GB2312" w:cs="仿宋_GB2312" w:eastAsia="仿宋_GB2312"/>
                <w:sz w:val="24"/>
                <w:color w:val="000000"/>
              </w:rPr>
              <w:t>高筋面粉必须符合</w:t>
            </w:r>
            <w:r>
              <w:rPr>
                <w:rFonts w:ascii="仿宋_GB2312" w:hAnsi="仿宋_GB2312" w:cs="仿宋_GB2312" w:eastAsia="仿宋_GB2312"/>
                <w:sz w:val="24"/>
                <w:color w:val="000000"/>
              </w:rPr>
              <w:t>GB/T8607-2024国家标准，小麦粉必须符合GB/T1355-2021国家标准，低筋面粉必须符合GB/T860</w:t>
            </w:r>
            <w:r>
              <w:rPr>
                <w:rFonts w:ascii="仿宋_GB2312" w:hAnsi="仿宋_GB2312" w:cs="仿宋_GB2312" w:eastAsia="仿宋_GB2312"/>
                <w:sz w:val="24"/>
                <w:color w:val="000000"/>
              </w:rPr>
              <w:t>7</w:t>
            </w:r>
            <w:r>
              <w:rPr>
                <w:rFonts w:ascii="仿宋_GB2312" w:hAnsi="仿宋_GB2312" w:cs="仿宋_GB2312" w:eastAsia="仿宋_GB2312"/>
                <w:sz w:val="24"/>
                <w:color w:val="000000"/>
              </w:rPr>
              <w:t>-2024标准；色泽正常，质地干爽、无异味</w:t>
            </w:r>
            <w:r>
              <w:rPr>
                <w:rFonts w:ascii="仿宋_GB2312" w:hAnsi="仿宋_GB2312" w:cs="仿宋_GB2312" w:eastAsia="仿宋_GB2312"/>
                <w:sz w:val="24"/>
                <w:color w:val="000000"/>
              </w:rPr>
              <w:t>，</w:t>
            </w:r>
            <w:r>
              <w:rPr>
                <w:rFonts w:ascii="仿宋_GB2312" w:hAnsi="仿宋_GB2312" w:cs="仿宋_GB2312" w:eastAsia="仿宋_GB2312"/>
                <w:sz w:val="24"/>
                <w:color w:val="000000"/>
              </w:rPr>
              <w:t>包装袋上有注册商标</w:t>
            </w:r>
            <w:r>
              <w:rPr>
                <w:rFonts w:ascii="仿宋_GB2312" w:hAnsi="仿宋_GB2312" w:cs="仿宋_GB2312" w:eastAsia="仿宋_GB2312"/>
                <w:sz w:val="24"/>
                <w:color w:val="000000"/>
              </w:rPr>
              <w:t>、</w:t>
            </w:r>
            <w:r>
              <w:rPr>
                <w:rFonts w:ascii="仿宋_GB2312" w:hAnsi="仿宋_GB2312" w:cs="仿宋_GB2312" w:eastAsia="仿宋_GB2312"/>
                <w:sz w:val="24"/>
                <w:color w:val="000000"/>
              </w:rPr>
              <w:t>SC食品生产许可标识，有检验合格证、清晰标明生产日期和保质期</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）豆制品：</w:t>
            </w:r>
          </w:p>
          <w:p>
            <w:pPr>
              <w:pStyle w:val="null3"/>
              <w:ind w:firstLine="480"/>
              <w:jc w:val="both"/>
            </w:pPr>
            <w:r>
              <w:rPr>
                <w:rFonts w:ascii="仿宋_GB2312" w:hAnsi="仿宋_GB2312" w:cs="仿宋_GB2312" w:eastAsia="仿宋_GB2312"/>
                <w:sz w:val="24"/>
                <w:color w:val="000000"/>
              </w:rPr>
              <w:t>豆制品须保证食材干净、不含非食品用化学物质、按统一标准加工、码放整齐、无须二次处理可以直接进行熟加工，货品送达采购人指定地点时，剩余保质期不得少于产品总保质期的三分之二</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）蔬菜</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必须符合</w:t>
            </w:r>
            <w:r>
              <w:rPr>
                <w:rFonts w:ascii="仿宋_GB2312" w:hAnsi="仿宋_GB2312" w:cs="仿宋_GB2312" w:eastAsia="仿宋_GB2312"/>
                <w:sz w:val="24"/>
                <w:color w:val="000000"/>
              </w:rPr>
              <w:t>GB2763-2026食品中农药最大残留限量标准并具有农药残留检验记录，供应当季各类新鲜蔬菜以及合规大棚种植蔬菜，蔬菜类必须保证无黄叶、枯死叶、无虫、无杂质，原菜须保证菜面干净、无明显泥土、码放整齐、品相完好无破损、大小均匀、成熟度适中</w:t>
            </w:r>
            <w:r>
              <w:rPr>
                <w:rFonts w:ascii="仿宋_GB2312" w:hAnsi="仿宋_GB2312" w:cs="仿宋_GB2312" w:eastAsia="仿宋_GB2312"/>
                <w:sz w:val="24"/>
                <w:color w:val="000000"/>
              </w:rPr>
              <w:t>，</w:t>
            </w:r>
            <w:r>
              <w:rPr>
                <w:rFonts w:ascii="仿宋_GB2312" w:hAnsi="仿宋_GB2312" w:cs="仿宋_GB2312" w:eastAsia="仿宋_GB2312"/>
                <w:sz w:val="24"/>
                <w:color w:val="000000"/>
              </w:rPr>
              <w:t>净菜须保证菜面完全干净、无泥土、按统一标准加工、码放整齐、无需二次处理可以直接进行烹饪加工</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）肉制品类</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产品为在政府规定的屠宰场所屠杀的生鲜禽畜肉；</w:t>
            </w:r>
          </w:p>
          <w:p>
            <w:pPr>
              <w:pStyle w:val="null3"/>
              <w:ind w:firstLine="480"/>
              <w:jc w:val="both"/>
            </w:pPr>
            <w:r>
              <w:rPr>
                <w:rFonts w:ascii="仿宋_GB2312" w:hAnsi="仿宋_GB2312" w:cs="仿宋_GB2312" w:eastAsia="仿宋_GB2312"/>
                <w:sz w:val="24"/>
                <w:color w:val="000000"/>
              </w:rPr>
              <w:t>产品应符合国家食品安全标准；</w:t>
            </w:r>
          </w:p>
          <w:p>
            <w:pPr>
              <w:pStyle w:val="null3"/>
              <w:ind w:firstLine="480"/>
              <w:jc w:val="both"/>
            </w:pPr>
            <w:r>
              <w:rPr>
                <w:rFonts w:ascii="仿宋_GB2312" w:hAnsi="仿宋_GB2312" w:cs="仿宋_GB2312" w:eastAsia="仿宋_GB2312"/>
                <w:sz w:val="24"/>
                <w:color w:val="000000"/>
              </w:rPr>
              <w:t>产品非病死禽畜肉；</w:t>
            </w:r>
          </w:p>
          <w:p>
            <w:pPr>
              <w:pStyle w:val="null3"/>
              <w:ind w:firstLine="480"/>
              <w:jc w:val="both"/>
            </w:pPr>
            <w:r>
              <w:rPr>
                <w:rFonts w:ascii="仿宋_GB2312" w:hAnsi="仿宋_GB2312" w:cs="仿宋_GB2312" w:eastAsia="仿宋_GB2312"/>
                <w:sz w:val="24"/>
                <w:color w:val="000000"/>
              </w:rPr>
              <w:t>产品非</w:t>
            </w:r>
            <w:r>
              <w:rPr>
                <w:rFonts w:ascii="仿宋_GB2312" w:hAnsi="仿宋_GB2312" w:cs="仿宋_GB2312" w:eastAsia="仿宋_GB2312"/>
                <w:sz w:val="24"/>
                <w:color w:val="000000"/>
              </w:rPr>
              <w:t>“注水”禽畜肉、母猪肉、老猪肉；</w:t>
            </w:r>
          </w:p>
          <w:p>
            <w:pPr>
              <w:pStyle w:val="null3"/>
              <w:ind w:firstLine="480"/>
              <w:jc w:val="both"/>
            </w:pPr>
            <w:r>
              <w:rPr>
                <w:rFonts w:ascii="仿宋_GB2312" w:hAnsi="仿宋_GB2312" w:cs="仿宋_GB2312" w:eastAsia="仿宋_GB2312"/>
                <w:sz w:val="24"/>
                <w:color w:val="000000"/>
              </w:rPr>
              <w:t>产品应经检验、检疫合格，有相应的检验、检疫证明，有当地卫生主管部门出具的动物检疫合格证明、有当地政府部门定点屠宰厂</w:t>
            </w:r>
            <w:r>
              <w:rPr>
                <w:rFonts w:ascii="仿宋_GB2312" w:hAnsi="仿宋_GB2312" w:cs="仿宋_GB2312" w:eastAsia="仿宋_GB2312"/>
                <w:sz w:val="24"/>
                <w:color w:val="000000"/>
              </w:rPr>
              <w:t>“瘦肉精”残留检测合格证明和肉品品质检验合格证供采购人随时抽查，抽查发现供应商提供的证明材料与鲜肉不符时，成交供应商应及时免费更换或退货。</w:t>
            </w:r>
          </w:p>
          <w:p>
            <w:pPr>
              <w:pStyle w:val="null3"/>
              <w:ind w:firstLine="480"/>
              <w:jc w:val="both"/>
            </w:pPr>
            <w:r>
              <w:rPr>
                <w:rFonts w:ascii="仿宋_GB2312" w:hAnsi="仿宋_GB2312" w:cs="仿宋_GB2312" w:eastAsia="仿宋_GB2312"/>
                <w:sz w:val="24"/>
                <w:color w:val="000000"/>
              </w:rPr>
              <w:t>新鲜的肉类，表面有光泽，颜色均匀，有弹性，不得呈现青紫色死斑。</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）水果类</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果形完整、质地好、新鲜，无影响消费的腐烂变质</w:t>
            </w:r>
            <w:r>
              <w:rPr>
                <w:rFonts w:ascii="仿宋_GB2312" w:hAnsi="仿宋_GB2312" w:cs="仿宋_GB2312" w:eastAsia="仿宋_GB2312"/>
                <w:sz w:val="24"/>
                <w:color w:val="000000"/>
              </w:rPr>
              <w:t>；</w:t>
            </w:r>
            <w:r>
              <w:rPr>
                <w:rFonts w:ascii="仿宋_GB2312" w:hAnsi="仿宋_GB2312" w:cs="仿宋_GB2312" w:eastAsia="仿宋_GB2312"/>
                <w:sz w:val="24"/>
                <w:color w:val="000000"/>
              </w:rPr>
              <w:t>清洁，基本不含可见异物，无坏死斑块，无明显的机械伤，基本无虫害，无冷害，无异常的外部水分，但冷藏取出后的冷凝水除外；无异常气味和味道，发育充分、成熟度适中，不得过熟或欠熟；货品码放整齐，果实大小基本统一；带果柄品类果柄长度不超过</w:t>
            </w:r>
            <w:r>
              <w:rPr>
                <w:rFonts w:ascii="仿宋_GB2312" w:hAnsi="仿宋_GB2312" w:cs="仿宋_GB2312" w:eastAsia="仿宋_GB2312"/>
                <w:sz w:val="24"/>
                <w:color w:val="000000"/>
              </w:rPr>
              <w:t>1cm</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不得存在腐烂变质、影响食用的坏果。</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）水产类</w:t>
            </w:r>
            <w:r>
              <w:rPr>
                <w:rFonts w:ascii="仿宋_GB2312" w:hAnsi="仿宋_GB2312" w:cs="仿宋_GB2312" w:eastAsia="仿宋_GB2312"/>
                <w:sz w:val="24"/>
                <w:color w:val="000000"/>
              </w:rPr>
              <w:t>：</w:t>
            </w:r>
          </w:p>
          <w:p>
            <w:pPr>
              <w:pStyle w:val="null3"/>
              <w:ind w:firstLine="422"/>
              <w:jc w:val="both"/>
            </w:pPr>
            <w:r>
              <w:rPr>
                <w:rFonts w:ascii="仿宋_GB2312" w:hAnsi="仿宋_GB2312" w:cs="仿宋_GB2312" w:eastAsia="仿宋_GB2312"/>
                <w:sz w:val="24"/>
                <w:color w:val="000000"/>
              </w:rPr>
              <w:t>鱼类要求体表光滑无病灶，有鲜鱼鳞片完整，无鳞鱼无浑浊粘液，肉质干燥，紧密，呈白色或淡黄色眼球外突饱满透明，鳃丝清晰鲜红或暗红，保持活体状态固有本色，无异味，鱼类肌肉紧密有弹性，内脏清晰可辨无腐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）禽蛋类</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所供禽蛋新鲜饱满、蛋壳光滑洁净无裂纹、无破损，同批次蛋类大小均匀，具备禽蛋天然固有色泽（鸡蛋色泽介于白色至浅红褐色）；蛋壳质地凸起完整、韧性良好，打开后蛋白澄清透明、层次分明。供应商随货提供加盖动物卫生监督机构检疫专用章的动物检疫合格证明，采购人随时抽查核验。</w:t>
            </w:r>
          </w:p>
          <w:p>
            <w:pPr>
              <w:pStyle w:val="null3"/>
              <w:ind w:firstLine="480"/>
              <w:jc w:val="both"/>
            </w:pPr>
            <w:r>
              <w:rPr>
                <w:rFonts w:ascii="仿宋_GB2312" w:hAnsi="仿宋_GB2312" w:cs="仿宋_GB2312" w:eastAsia="仿宋_GB2312"/>
                <w:sz w:val="24"/>
                <w:color w:val="000000"/>
              </w:rPr>
              <w:t>四、运输要求</w:t>
            </w:r>
          </w:p>
          <w:p>
            <w:pPr>
              <w:pStyle w:val="null3"/>
              <w:ind w:firstLine="480"/>
              <w:jc w:val="both"/>
            </w:pPr>
            <w:r>
              <w:rPr>
                <w:rFonts w:ascii="仿宋_GB2312" w:hAnsi="仿宋_GB2312" w:cs="仿宋_GB2312" w:eastAsia="仿宋_GB2312"/>
                <w:sz w:val="24"/>
                <w:color w:val="000000"/>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保食品的温度。</w:t>
            </w:r>
          </w:p>
          <w:p>
            <w:pPr>
              <w:pStyle w:val="null3"/>
              <w:ind w:firstLine="480"/>
              <w:jc w:val="both"/>
            </w:pPr>
            <w:r>
              <w:rPr>
                <w:rFonts w:ascii="仿宋_GB2312" w:hAnsi="仿宋_GB2312" w:cs="仿宋_GB2312" w:eastAsia="仿宋_GB2312"/>
                <w:sz w:val="24"/>
                <w:color w:val="000000"/>
              </w:rPr>
              <w:t>五、供货要求</w:t>
            </w:r>
          </w:p>
          <w:p>
            <w:pPr>
              <w:pStyle w:val="null3"/>
              <w:ind w:firstLine="480"/>
              <w:jc w:val="both"/>
            </w:pPr>
            <w:r>
              <w:rPr>
                <w:rFonts w:ascii="仿宋_GB2312" w:hAnsi="仿宋_GB2312" w:cs="仿宋_GB2312" w:eastAsia="仿宋_GB2312"/>
                <w:sz w:val="24"/>
                <w:color w:val="000000"/>
              </w:rPr>
              <w:t>1.配送服务响应时间：应采购人要求。</w:t>
            </w:r>
          </w:p>
          <w:p>
            <w:pPr>
              <w:pStyle w:val="null3"/>
              <w:ind w:firstLine="480"/>
              <w:jc w:val="both"/>
            </w:pPr>
            <w:r>
              <w:rPr>
                <w:rFonts w:ascii="仿宋_GB2312" w:hAnsi="仿宋_GB2312" w:cs="仿宋_GB2312" w:eastAsia="仿宋_GB2312"/>
                <w:sz w:val="24"/>
                <w:color w:val="000000"/>
              </w:rPr>
              <w:t>2.供货地点：采购人指定地点。</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.供货</w:t>
            </w:r>
            <w:r>
              <w:rPr>
                <w:rFonts w:ascii="仿宋_GB2312" w:hAnsi="仿宋_GB2312" w:cs="仿宋_GB2312" w:eastAsia="仿宋_GB2312"/>
                <w:sz w:val="24"/>
                <w:color w:val="000000"/>
              </w:rPr>
              <w:t>技术规格、参数与要求</w:t>
            </w:r>
          </w:p>
          <w:p>
            <w:pPr>
              <w:pStyle w:val="null3"/>
              <w:ind w:firstLine="480"/>
              <w:jc w:val="both"/>
            </w:pPr>
            <w:r>
              <w:rPr>
                <w:rFonts w:ascii="仿宋_GB2312" w:hAnsi="仿宋_GB2312" w:cs="仿宋_GB2312" w:eastAsia="仿宋_GB2312"/>
                <w:sz w:val="24"/>
                <w:color w:val="000000"/>
              </w:rPr>
              <w:t>凡涉及国家或行业相关标准的以最新标准为准，所有食材均须符合《中华人民共和国食品安全法》、《中华人民共和国动物防疫法》、《食品安全国家标准</w:t>
            </w:r>
            <w:r>
              <w:rPr>
                <w:rFonts w:ascii="仿宋_GB2312" w:hAnsi="仿宋_GB2312" w:cs="仿宋_GB2312" w:eastAsia="仿宋_GB2312"/>
                <w:sz w:val="24"/>
                <w:color w:val="000000"/>
              </w:rPr>
              <w:t>食品添加剂使用标准》（</w:t>
            </w:r>
            <w:r>
              <w:rPr>
                <w:rFonts w:ascii="仿宋_GB2312" w:hAnsi="仿宋_GB2312" w:cs="仿宋_GB2312" w:eastAsia="仿宋_GB2312"/>
                <w:sz w:val="24"/>
                <w:color w:val="000000"/>
              </w:rPr>
              <w:t>GB 2760-2024）及其他食品安全相关法律法规、规范文件要求。</w:t>
            </w:r>
          </w:p>
          <w:p>
            <w:pPr>
              <w:pStyle w:val="null3"/>
            </w:pPr>
            <w:r>
              <w:rPr>
                <w:rFonts w:ascii="仿宋_GB2312" w:hAnsi="仿宋_GB2312" w:cs="仿宋_GB2312" w:eastAsia="仿宋_GB2312"/>
                <w:sz w:val="24"/>
                <w:color w:val="000000"/>
              </w:rPr>
              <w:t xml:space="preserve">  4</w:t>
            </w:r>
            <w:r>
              <w:rPr>
                <w:rFonts w:ascii="仿宋_GB2312" w:hAnsi="仿宋_GB2312" w:cs="仿宋_GB2312" w:eastAsia="仿宋_GB2312"/>
                <w:sz w:val="24"/>
                <w:color w:val="000000"/>
              </w:rPr>
              <w:t>.配送要求：配送时须提供符合采购人要求的证明材料。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为保证项目质量，供应商应配置足够数量、经验丰富的工作人员完成项目履约。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供应商自备送货车(冷藏或恒温)，安排专人及时供货，装卸费、送货费用及运输安全由供应商承担。</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定型包装食品，应检验包装标识或者产品说明书是否标出品名、产地、厂名、生产日期、批号或者代号、规格、配方或者主要成份、保质期限、食用或者使用方法等，防止购进假冒伪劣产品，禁止无生产日期、无质量合格证、无生产厂家的“三无”食品及过期、变质、假冒伪劣食材进入食堂；2.主要食材中的定型包装食品，如米面油类应提供批次产品卫生主管部门的检验报告；3.包装污秽不洁、严重破损、运输工具不洁等造成污染的产品不得验收入库；4.采购人对所购食品原辅料的质量、数量进行核对验收，验收合格的及时入库，不合格产品应及时退回服务商，同时做好验收记录；5.验收时，采购人清点入库物品的数量、规格，做到数量、规格、品种准确无误，入库时按不同的材质、规格、功能和要求，分类、分别储存，做到账物相符。6.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进度款，按月支付，根据供货单据实结算，成交供应商在接受采购人的每一笔付款前，应向采购人开具相应金额的发票，达到付款条件起30个工作日内，支付合同总金额的8.37%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1.有效的主体资格证明：具有独立承担民事责任能力的法人、其他组织或自然人并出具合法有效的营业执照或事业单位法人证书等国家规定的相关证明，自然人参与的提供其身份证明。2.基本资格条件：提供《基本资格条件承诺函》，供应商应对承诺内容的真实性、合法性、有效性负责。若虚假承诺的，视同为“提供虚假材料谋取中标、成交”的违法行为，根据《中华人民共和国政府采购法》等法律法规追究相应责任。备注：不提供《基本资格条件承诺函》的供应商需提交如下证明材料：a.财务状况证明：提供2025年度经审计的财务报告（成立时间至提交磋商响应文件截止时间不足一年的可提供成立后任意时段的资产负债表），或其基本存款账户开户银行出具的资信证明及基本存款账户开户许可证（基本账户信息表）。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c.税收缴纳证明：提供磋商响应文件递交截止时间前一年内已缴纳的至少一个月的纳税证明或完税证明，依法免税的单位应提供相关证明材料。d.参加政府采购活动前三年内，在经营活动中没有重大违法记录的书面声明。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供应商为生产企业的须提供有效的《食品生产许可证》及《食品经营许可证》；供应商为代理商的须提供有效的《食品经营许可证》。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食材采购方案</w:t>
            </w:r>
          </w:p>
        </w:tc>
        <w:tc>
          <w:tcPr>
            <w:tcW w:type="dxa" w:w="2492"/>
          </w:tcPr>
          <w:p>
            <w:pPr>
              <w:pStyle w:val="null3"/>
            </w:pPr>
            <w:r>
              <w:rPr>
                <w:rFonts w:ascii="仿宋_GB2312" w:hAnsi="仿宋_GB2312" w:cs="仿宋_GB2312" w:eastAsia="仿宋_GB2312"/>
              </w:rPr>
              <w:t>根据供应商提供的①服务流程；②进货渠道；③存储⽅案；④⻝品配送⽅案；⑤⻝材验收⽅案。 评审标准：每⼀项内容描述详细，切实可⾏符合项⽬实际内容得2分，合计得10分。内容①～⑤项任意⼀项缺项扣2分，扣完为⽌；内容①～⑤项每出现⼀项内容缺陷（缺陷是指：内容不详细具体、条理不清晰、描述过于简单、与项⽬特点不匹配、凭空编造、出现常识性错误、不可能实现的夸⼤情形、存在不适⽤项⽬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根据供应商提供的①食品质量；②食品安全与卫生；③安全执行标准；④日常检查的措施；⑤食品品质新鲜等。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项⽬组成⼈员配备5⼈以上得5分；⼈员配备3-4⼈得3分；⼈员配备1-2⼈得1分。注：⼈员需提供有效健康证明，未提供不得分。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投入车辆情况</w:t>
            </w:r>
          </w:p>
        </w:tc>
        <w:tc>
          <w:tcPr>
            <w:tcW w:type="dxa" w:w="2492"/>
          </w:tcPr>
          <w:p>
            <w:pPr>
              <w:pStyle w:val="null3"/>
            </w:pPr>
            <w:r>
              <w:rPr>
                <w:rFonts w:ascii="仿宋_GB2312" w:hAnsi="仿宋_GB2312" w:cs="仿宋_GB2312" w:eastAsia="仿宋_GB2312"/>
              </w:rPr>
              <w:t>供应商针对本项⽬提供的运输⻋辆，每提供1辆计2.5分，最⾼5分。 注：需提供⻋辆相关权属证明资料，未提供或所提供资料，不能证明的，不计分。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根据供应商提供的①实施过程突发的紧急状况合理化建议；②处理方式及措施；③处理人员配备合理；④天气、车辆故障等突发事件；⑤配送或使用过程出现问题的应急预案及补救措施。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根据供应商提供的①售后服务机构地址及负责人的联系方式；②售后服务人员安排；③售后服务保障措施；④供货不及时、出现残次品等补货换货解决方案；⑤产品交付采购方后出现质量问题的响应时间。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根据供应商提供的①⾃查制度；②奖惩考核机制；③安全防范制度；④卫⽣保障制度；⑤消杀管理制度。每项提供书⾯承诺且内容⻬全完善得1分，缺项不得分。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根据供应商提供的①应急响应承诺；②采买时间计划承诺；③⼈员稳定承诺；④运输路线规划承诺；⑤售后回访承诺。 每项提供书⾯承诺且内容⻬全完善得1分，缺项不得分。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下浮率最高的磋商报价为磋商基准下浮率，其价格分为满分。其他供应商的价格下浮率分统一按照下列公式计算：磋商下浮率得分=（[（1-磋商基准下浮率）/（1-最后磋商下浮率）]×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