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753280">
      <w:pPr>
        <w:keepNext w:val="0"/>
        <w:keepLines w:val="0"/>
        <w:pageBreakBefore w:val="0"/>
        <w:widowControl w:val="0"/>
        <w:kinsoku/>
        <w:wordWrap/>
        <w:overflowPunct/>
        <w:topLinePunct w:val="0"/>
        <w:autoSpaceDE/>
        <w:autoSpaceDN/>
        <w:bidi w:val="0"/>
        <w:adjustRightInd/>
        <w:snapToGrid/>
        <w:spacing w:before="313" w:beforeLines="100" w:after="313" w:afterLines="100"/>
        <w:jc w:val="center"/>
        <w:textAlignment w:val="auto"/>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合同草案条款</w:t>
      </w:r>
    </w:p>
    <w:p w14:paraId="5D679C82">
      <w:pPr>
        <w:pStyle w:val="4"/>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jc w:val="center"/>
        <w:textAlignment w:val="auto"/>
        <w:rPr>
          <w:rFonts w:hint="eastAsia" w:ascii="宋体" w:hAnsi="宋体" w:eastAsia="宋体" w:cs="宋体"/>
          <w:color w:val="000000"/>
          <w:kern w:val="2"/>
          <w:sz w:val="24"/>
          <w:szCs w:val="24"/>
          <w:lang w:bidi="ar"/>
        </w:rPr>
      </w:pPr>
      <w:r>
        <w:rPr>
          <w:rFonts w:hint="eastAsia" w:ascii="宋体" w:hAnsi="宋体" w:eastAsia="宋体" w:cs="宋体"/>
          <w:color w:val="000000"/>
          <w:kern w:val="2"/>
          <w:sz w:val="24"/>
          <w:szCs w:val="24"/>
          <w:lang w:bidi="ar"/>
        </w:rPr>
        <w:t>（本格式条款供采购人和成交供应商双方签订合同参考）</w:t>
      </w:r>
    </w:p>
    <w:p w14:paraId="32437270">
      <w:pPr>
        <w:pStyle w:val="4"/>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jc w:val="both"/>
        <w:textAlignment w:val="auto"/>
        <w:rPr>
          <w:rFonts w:hint="eastAsia" w:ascii="宋体" w:hAnsi="宋体" w:eastAsia="宋体" w:cs="宋体"/>
          <w:color w:val="000000"/>
          <w:kern w:val="2"/>
          <w:sz w:val="24"/>
          <w:szCs w:val="24"/>
          <w:lang w:bidi="ar"/>
        </w:rPr>
      </w:pPr>
    </w:p>
    <w:p w14:paraId="46331EBD">
      <w:pPr>
        <w:pStyle w:val="4"/>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ind w:firstLine="480" w:firstLineChars="200"/>
        <w:jc w:val="both"/>
        <w:textAlignment w:val="auto"/>
        <w:rPr>
          <w:rFonts w:hint="eastAsia" w:ascii="宋体" w:hAnsi="宋体" w:eastAsia="宋体" w:cs="宋体"/>
          <w:color w:val="000000"/>
          <w:sz w:val="24"/>
          <w:szCs w:val="24"/>
        </w:rPr>
      </w:pPr>
      <w:r>
        <w:rPr>
          <w:rFonts w:hint="eastAsia" w:ascii="宋体" w:hAnsi="宋体" w:eastAsia="宋体" w:cs="宋体"/>
          <w:color w:val="000000"/>
          <w:kern w:val="2"/>
          <w:sz w:val="24"/>
          <w:szCs w:val="24"/>
          <w:lang w:bidi="ar"/>
        </w:rPr>
        <w:t xml:space="preserve">合同编号： </w:t>
      </w:r>
    </w:p>
    <w:p w14:paraId="62C1C050">
      <w:pPr>
        <w:pStyle w:val="4"/>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ind w:firstLine="480" w:firstLineChars="200"/>
        <w:jc w:val="both"/>
        <w:textAlignment w:val="auto"/>
        <w:rPr>
          <w:rFonts w:hint="eastAsia" w:ascii="宋体" w:hAnsi="宋体" w:eastAsia="宋体" w:cs="宋体"/>
          <w:color w:val="000000"/>
          <w:sz w:val="24"/>
          <w:szCs w:val="24"/>
        </w:rPr>
      </w:pPr>
      <w:r>
        <w:rPr>
          <w:rFonts w:hint="eastAsia" w:ascii="宋体" w:hAnsi="宋体" w:eastAsia="宋体" w:cs="宋体"/>
          <w:color w:val="000000"/>
          <w:kern w:val="2"/>
          <w:sz w:val="24"/>
          <w:szCs w:val="24"/>
          <w:lang w:bidi="ar"/>
        </w:rPr>
        <w:t xml:space="preserve">签订地点： </w:t>
      </w:r>
    </w:p>
    <w:p w14:paraId="6F416AEA">
      <w:pPr>
        <w:pStyle w:val="4"/>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ind w:firstLine="480" w:firstLineChars="200"/>
        <w:jc w:val="both"/>
        <w:textAlignment w:val="auto"/>
        <w:rPr>
          <w:rFonts w:hint="eastAsia" w:ascii="宋体" w:hAnsi="宋体" w:eastAsia="宋体" w:cs="宋体"/>
          <w:color w:val="000000"/>
          <w:sz w:val="24"/>
          <w:szCs w:val="24"/>
          <w:lang w:eastAsia="zh-CN"/>
        </w:rPr>
      </w:pPr>
      <w:r>
        <w:rPr>
          <w:rFonts w:hint="eastAsia" w:ascii="宋体" w:hAnsi="宋体" w:eastAsia="宋体" w:cs="宋体"/>
          <w:color w:val="000000"/>
          <w:kern w:val="2"/>
          <w:sz w:val="24"/>
          <w:szCs w:val="24"/>
          <w:lang w:bidi="ar"/>
        </w:rPr>
        <w:t>签订时间</w:t>
      </w:r>
      <w:r>
        <w:rPr>
          <w:rFonts w:hint="eastAsia" w:ascii="宋体" w:hAnsi="宋体" w:eastAsia="宋体" w:cs="宋体"/>
          <w:color w:val="000000"/>
          <w:kern w:val="2"/>
          <w:sz w:val="24"/>
          <w:szCs w:val="24"/>
          <w:lang w:eastAsia="zh-CN" w:bidi="ar"/>
        </w:rPr>
        <w:t>：</w:t>
      </w:r>
    </w:p>
    <w:p w14:paraId="703A13D0">
      <w:pPr>
        <w:pStyle w:val="4"/>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ind w:firstLine="480" w:firstLineChars="200"/>
        <w:jc w:val="both"/>
        <w:textAlignment w:val="auto"/>
        <w:rPr>
          <w:rFonts w:hint="eastAsia" w:ascii="宋体" w:hAnsi="宋体" w:eastAsia="宋体" w:cs="宋体"/>
          <w:color w:val="000000"/>
          <w:sz w:val="24"/>
          <w:szCs w:val="24"/>
        </w:rPr>
      </w:pPr>
      <w:r>
        <w:rPr>
          <w:rFonts w:hint="eastAsia" w:ascii="宋体" w:hAnsi="宋体" w:eastAsia="宋体" w:cs="宋体"/>
          <w:color w:val="000000"/>
          <w:kern w:val="2"/>
          <w:sz w:val="24"/>
          <w:szCs w:val="24"/>
          <w:lang w:bidi="ar"/>
        </w:rPr>
        <w:t>采购人（甲方）：</w:t>
      </w:r>
    </w:p>
    <w:p w14:paraId="10C5BAF5">
      <w:pPr>
        <w:pStyle w:val="4"/>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ind w:firstLine="480" w:firstLineChars="200"/>
        <w:jc w:val="both"/>
        <w:textAlignment w:val="auto"/>
        <w:rPr>
          <w:rFonts w:hint="eastAsia" w:ascii="宋体" w:hAnsi="宋体" w:eastAsia="宋体" w:cs="宋体"/>
          <w:color w:val="000000"/>
          <w:sz w:val="24"/>
          <w:szCs w:val="24"/>
        </w:rPr>
      </w:pPr>
      <w:r>
        <w:rPr>
          <w:rFonts w:hint="eastAsia" w:ascii="宋体" w:hAnsi="宋体" w:eastAsia="宋体" w:cs="宋体"/>
          <w:color w:val="000000"/>
          <w:kern w:val="2"/>
          <w:sz w:val="24"/>
          <w:szCs w:val="24"/>
          <w:lang w:eastAsia="zh-CN" w:bidi="ar"/>
        </w:rPr>
        <w:t>成交供应商</w:t>
      </w:r>
      <w:r>
        <w:rPr>
          <w:rFonts w:hint="eastAsia" w:ascii="宋体" w:hAnsi="宋体" w:eastAsia="宋体" w:cs="宋体"/>
          <w:color w:val="000000"/>
          <w:kern w:val="2"/>
          <w:sz w:val="24"/>
          <w:szCs w:val="24"/>
          <w:lang w:bidi="ar"/>
        </w:rPr>
        <w:t>（乙方）：</w:t>
      </w:r>
    </w:p>
    <w:p w14:paraId="7F13D103">
      <w:pPr>
        <w:pStyle w:val="4"/>
        <w:keepNext w:val="0"/>
        <w:keepLines w:val="0"/>
        <w:pageBreakBefore w:val="0"/>
        <w:widowControl w:val="0"/>
        <w:kinsoku/>
        <w:wordWrap/>
        <w:overflowPunct/>
        <w:topLinePunct w:val="0"/>
        <w:autoSpaceDE/>
        <w:autoSpaceDN/>
        <w:bidi w:val="0"/>
        <w:adjustRightInd/>
        <w:snapToGrid/>
        <w:spacing w:before="120" w:beforeLines="50" w:beforeAutospacing="0" w:after="0" w:afterAutospacing="0" w:line="360" w:lineRule="auto"/>
        <w:ind w:firstLine="480" w:firstLineChars="200"/>
        <w:jc w:val="both"/>
        <w:textAlignment w:val="auto"/>
        <w:rPr>
          <w:rFonts w:hint="eastAsia" w:ascii="宋体" w:hAnsi="宋体" w:eastAsia="宋体" w:cs="宋体"/>
          <w:color w:val="000000"/>
          <w:sz w:val="24"/>
          <w:szCs w:val="24"/>
        </w:rPr>
      </w:pPr>
      <w:r>
        <w:rPr>
          <w:rFonts w:hint="eastAsia" w:ascii="宋体" w:hAnsi="宋体" w:eastAsia="宋体" w:cs="宋体"/>
          <w:color w:val="000000"/>
          <w:kern w:val="2"/>
          <w:sz w:val="24"/>
          <w:szCs w:val="24"/>
          <w:lang w:bidi="ar"/>
        </w:rPr>
        <w:t>根据《中华人民共和国政府采购法》及实施条例、《</w:t>
      </w:r>
      <w:r>
        <w:rPr>
          <w:rFonts w:hint="eastAsia" w:ascii="宋体" w:hAnsi="宋体" w:eastAsia="宋体" w:cs="宋体"/>
          <w:color w:val="000000"/>
          <w:kern w:val="2"/>
          <w:sz w:val="24"/>
          <w:szCs w:val="24"/>
          <w:lang w:eastAsia="zh-CN" w:bidi="ar"/>
        </w:rPr>
        <w:t>中华人民共和国民法典</w:t>
      </w:r>
      <w:r>
        <w:rPr>
          <w:rFonts w:hint="eastAsia" w:ascii="宋体" w:hAnsi="宋体" w:eastAsia="宋体" w:cs="宋体"/>
          <w:color w:val="000000"/>
          <w:kern w:val="2"/>
          <w:sz w:val="24"/>
          <w:szCs w:val="24"/>
          <w:lang w:bidi="ar"/>
        </w:rPr>
        <w:t>》和甲方</w:t>
      </w:r>
      <w:r>
        <w:rPr>
          <w:rFonts w:hint="eastAsia" w:ascii="宋体" w:hAnsi="宋体" w:eastAsia="宋体" w:cs="宋体"/>
          <w:color w:val="000000"/>
          <w:kern w:val="2"/>
          <w:sz w:val="24"/>
          <w:szCs w:val="24"/>
          <w:u w:val="single"/>
          <w:lang w:val="en-US" w:eastAsia="zh-CN" w:bidi="ar"/>
        </w:rPr>
        <w:t xml:space="preserve">             </w:t>
      </w:r>
      <w:r>
        <w:rPr>
          <w:rFonts w:hint="eastAsia" w:ascii="宋体" w:hAnsi="宋体" w:eastAsia="宋体" w:cs="宋体"/>
          <w:color w:val="000000"/>
          <w:kern w:val="2"/>
          <w:sz w:val="24"/>
          <w:szCs w:val="24"/>
          <w:lang w:bidi="ar"/>
        </w:rPr>
        <w:t>（采购项目编号：</w:t>
      </w:r>
      <w:r>
        <w:rPr>
          <w:rFonts w:hint="eastAsia" w:ascii="宋体" w:hAnsi="宋体" w:eastAsia="宋体" w:cs="宋体"/>
          <w:color w:val="000000"/>
          <w:kern w:val="2"/>
          <w:sz w:val="24"/>
          <w:szCs w:val="24"/>
          <w:u w:val="single"/>
          <w:lang w:val="en-US" w:eastAsia="zh-CN" w:bidi="ar"/>
        </w:rPr>
        <w:t xml:space="preserve">       </w:t>
      </w:r>
      <w:r>
        <w:rPr>
          <w:rFonts w:hint="eastAsia" w:ascii="宋体" w:hAnsi="宋体" w:eastAsia="宋体" w:cs="宋体"/>
          <w:color w:val="000000"/>
          <w:kern w:val="2"/>
          <w:sz w:val="24"/>
          <w:szCs w:val="24"/>
          <w:lang w:bidi="ar"/>
        </w:rPr>
        <w:t>）的</w:t>
      </w:r>
      <w:r>
        <w:rPr>
          <w:rFonts w:hint="eastAsia" w:ascii="宋体" w:hAnsi="宋体" w:eastAsia="宋体" w:cs="宋体"/>
          <w:color w:val="000000"/>
          <w:kern w:val="2"/>
          <w:sz w:val="24"/>
          <w:szCs w:val="24"/>
          <w:lang w:eastAsia="zh-CN" w:bidi="ar"/>
        </w:rPr>
        <w:t>单一来源采购</w:t>
      </w:r>
      <w:r>
        <w:rPr>
          <w:rFonts w:hint="eastAsia" w:ascii="宋体" w:hAnsi="宋体" w:eastAsia="宋体" w:cs="宋体"/>
          <w:color w:val="000000"/>
          <w:kern w:val="2"/>
          <w:sz w:val="24"/>
          <w:szCs w:val="24"/>
          <w:lang w:bidi="ar"/>
        </w:rPr>
        <w:t>文件、</w:t>
      </w:r>
      <w:r>
        <w:rPr>
          <w:rFonts w:hint="eastAsia" w:ascii="宋体" w:hAnsi="宋体" w:eastAsia="宋体" w:cs="宋体"/>
          <w:color w:val="000000"/>
          <w:kern w:val="2"/>
          <w:sz w:val="24"/>
          <w:szCs w:val="24"/>
          <w:lang w:eastAsia="zh-CN" w:bidi="ar"/>
        </w:rPr>
        <w:t>单一来源采购响应</w:t>
      </w:r>
      <w:r>
        <w:rPr>
          <w:rFonts w:hint="eastAsia" w:ascii="宋体" w:hAnsi="宋体" w:eastAsia="宋体" w:cs="宋体"/>
          <w:color w:val="000000"/>
          <w:kern w:val="2"/>
          <w:sz w:val="24"/>
          <w:szCs w:val="24"/>
          <w:lang w:bidi="ar"/>
        </w:rPr>
        <w:t>文件等有关规定，为确保甲方采购项目的顺利实施，甲、乙双方在平等自愿原则下签订本合同，并共同遵守如下条款：</w:t>
      </w:r>
    </w:p>
    <w:p w14:paraId="21EC442C">
      <w:pPr>
        <w:pStyle w:val="9"/>
        <w:keepNext w:val="0"/>
        <w:keepLines w:val="0"/>
        <w:pageBreakBefore w:val="0"/>
        <w:widowControl w:val="0"/>
        <w:kinsoku/>
        <w:wordWrap/>
        <w:overflowPunct/>
        <w:topLinePunct w:val="0"/>
        <w:autoSpaceDE/>
        <w:autoSpaceDN/>
        <w:bidi w:val="0"/>
        <w:adjustRightInd/>
        <w:snapToGrid/>
        <w:spacing w:before="120" w:beforeLines="50" w:line="360" w:lineRule="auto"/>
        <w:ind w:left="0" w:leftChars="0" w:firstLine="0" w:firstLineChars="0"/>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第一条 项目基本情况</w:t>
      </w:r>
    </w:p>
    <w:p w14:paraId="15C2D0A9">
      <w:pPr>
        <w:pStyle w:val="9"/>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省委组织部机关关于陕西干部网络学院建设与维护服务计划。</w:t>
      </w:r>
    </w:p>
    <w:p w14:paraId="69E17B86">
      <w:pPr>
        <w:pStyle w:val="9"/>
        <w:keepNext w:val="0"/>
        <w:keepLines w:val="0"/>
        <w:pageBreakBefore w:val="0"/>
        <w:widowControl w:val="0"/>
        <w:kinsoku/>
        <w:wordWrap/>
        <w:overflowPunct/>
        <w:topLinePunct w:val="0"/>
        <w:autoSpaceDE/>
        <w:autoSpaceDN/>
        <w:bidi w:val="0"/>
        <w:adjustRightInd/>
        <w:snapToGrid/>
        <w:spacing w:before="120" w:beforeLines="50" w:line="360" w:lineRule="auto"/>
        <w:ind w:left="0" w:leftChars="0" w:firstLine="0" w:firstLineChars="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第二条 服务期限</w:t>
      </w:r>
    </w:p>
    <w:p w14:paraId="0CE204B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一年。</w:t>
      </w:r>
    </w:p>
    <w:p w14:paraId="6C4E794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color w:val="auto"/>
          <w:kern w:val="2"/>
          <w:sz w:val="24"/>
          <w:szCs w:val="24"/>
          <w:highlight w:val="none"/>
          <w:lang w:val="en-US" w:eastAsia="zh-CN" w:bidi="ar-SA"/>
        </w:rPr>
      </w:pPr>
      <w:r>
        <w:rPr>
          <w:rFonts w:hint="eastAsia" w:ascii="宋体" w:hAnsi="宋体" w:eastAsia="宋体" w:cs="宋体"/>
          <w:b/>
          <w:bCs/>
          <w:color w:val="auto"/>
          <w:kern w:val="2"/>
          <w:sz w:val="24"/>
          <w:szCs w:val="24"/>
          <w:highlight w:val="none"/>
          <w:lang w:val="en-US" w:eastAsia="zh-CN" w:bidi="ar-SA"/>
        </w:rPr>
        <w:t>第三条  服务内容与质量标准</w:t>
      </w:r>
    </w:p>
    <w:p w14:paraId="505AAA76">
      <w:pPr>
        <w:pStyle w:val="9"/>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rPr>
        <w:t>符合国家有关规范和标准</w:t>
      </w:r>
      <w:r>
        <w:rPr>
          <w:rFonts w:hint="eastAsia" w:ascii="宋体" w:hAnsi="宋体" w:eastAsia="宋体" w:cs="宋体"/>
          <w:sz w:val="24"/>
          <w:szCs w:val="24"/>
          <w:lang w:eastAsia="zh-CN"/>
        </w:rPr>
        <w:t>。</w:t>
      </w:r>
    </w:p>
    <w:p w14:paraId="18E6F92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color w:val="auto"/>
          <w:kern w:val="2"/>
          <w:sz w:val="24"/>
          <w:szCs w:val="24"/>
          <w:highlight w:val="none"/>
          <w:lang w:val="en-US" w:eastAsia="zh-CN" w:bidi="ar-SA"/>
        </w:rPr>
      </w:pPr>
      <w:r>
        <w:rPr>
          <w:rFonts w:hint="eastAsia" w:ascii="宋体" w:hAnsi="宋体" w:eastAsia="宋体" w:cs="宋体"/>
          <w:b/>
          <w:bCs/>
          <w:color w:val="auto"/>
          <w:kern w:val="2"/>
          <w:sz w:val="24"/>
          <w:szCs w:val="24"/>
          <w:highlight w:val="none"/>
          <w:lang w:val="en-US" w:eastAsia="zh-CN" w:bidi="ar-SA"/>
        </w:rPr>
        <w:t>第四条  服务费用及支付方式</w:t>
      </w:r>
    </w:p>
    <w:p w14:paraId="7E4E99F5">
      <w:pPr>
        <w:pStyle w:val="9"/>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1.按下列比例支付价款：</w:t>
      </w:r>
    </w:p>
    <w:p w14:paraId="0928BEF4">
      <w:pPr>
        <w:pStyle w:val="9"/>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进度款，合同签订后，达到使用要求，达到付款条件起30个工作日内，支付合同总金额的100.0%；</w:t>
      </w:r>
    </w:p>
    <w:p w14:paraId="2D79BFE8">
      <w:pPr>
        <w:pStyle w:val="9"/>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2.乙方须向甲方出具合法有效的完税发票，甲方进行支付结算。</w:t>
      </w:r>
      <w:bookmarkStart w:id="34" w:name="_GoBack"/>
      <w:bookmarkEnd w:id="34"/>
    </w:p>
    <w:p w14:paraId="434B76DB">
      <w:pPr>
        <w:pStyle w:val="9"/>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3.结算方式：银行转账。</w:t>
      </w:r>
    </w:p>
    <w:p w14:paraId="732CF5B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color w:val="auto"/>
          <w:kern w:val="2"/>
          <w:sz w:val="24"/>
          <w:szCs w:val="24"/>
          <w:highlight w:val="none"/>
          <w:lang w:val="en-US" w:eastAsia="zh-CN" w:bidi="ar-SA"/>
        </w:rPr>
      </w:pPr>
      <w:r>
        <w:rPr>
          <w:rFonts w:hint="eastAsia" w:ascii="宋体" w:hAnsi="宋体" w:eastAsia="宋体" w:cs="宋体"/>
          <w:b/>
          <w:bCs/>
          <w:color w:val="auto"/>
          <w:kern w:val="2"/>
          <w:sz w:val="24"/>
          <w:szCs w:val="24"/>
          <w:highlight w:val="none"/>
          <w:lang w:val="en-US" w:eastAsia="zh-CN" w:bidi="ar-SA"/>
        </w:rPr>
        <w:t>第五条   知识产权（若有）</w:t>
      </w:r>
    </w:p>
    <w:p w14:paraId="2713868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bCs/>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乙方应保证所提供的服务或其任何一部分均不会侵犯任何第三方的专利权、商标权或著作权。</w:t>
      </w:r>
    </w:p>
    <w:p w14:paraId="1D867F4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color w:val="auto"/>
          <w:kern w:val="2"/>
          <w:sz w:val="24"/>
          <w:szCs w:val="24"/>
          <w:highlight w:val="none"/>
          <w:lang w:val="en-US" w:eastAsia="zh-CN" w:bidi="ar-SA"/>
        </w:rPr>
      </w:pPr>
      <w:r>
        <w:rPr>
          <w:rFonts w:hint="eastAsia" w:ascii="宋体" w:hAnsi="宋体" w:eastAsia="宋体" w:cs="宋体"/>
          <w:b/>
          <w:bCs/>
          <w:color w:val="auto"/>
          <w:kern w:val="2"/>
          <w:sz w:val="24"/>
          <w:szCs w:val="24"/>
          <w:highlight w:val="none"/>
          <w:lang w:val="en-US" w:eastAsia="zh-CN" w:bidi="ar-SA"/>
        </w:rPr>
        <w:t>第六条  无产权瑕疵条款（如有）</w:t>
      </w:r>
    </w:p>
    <w:p w14:paraId="40F7C198">
      <w:pPr>
        <w:keepNext w:val="0"/>
        <w:keepLines w:val="0"/>
        <w:pageBreakBefore w:val="0"/>
        <w:widowControl w:val="0"/>
        <w:tabs>
          <w:tab w:val="left" w:pos="1440"/>
        </w:tabs>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乙方保证所提供的服务的所有权完全属于乙方且无任何抵押、查封等产权瑕疵。如有产权瑕疵的，视为乙方违约。乙方应负担由此而产生的一切损失。</w:t>
      </w:r>
    </w:p>
    <w:p w14:paraId="41E41021">
      <w:pPr>
        <w:spacing w:line="360" w:lineRule="auto"/>
        <w:rPr>
          <w:rFonts w:hint="eastAsia" w:ascii="宋体" w:hAnsi="宋体" w:eastAsia="宋体" w:cs="宋体"/>
          <w:b/>
          <w:bCs/>
          <w:color w:val="auto"/>
          <w:kern w:val="2"/>
          <w:sz w:val="24"/>
          <w:szCs w:val="24"/>
          <w:highlight w:val="none"/>
          <w:lang w:val="en-US" w:eastAsia="zh-CN" w:bidi="ar-SA"/>
        </w:rPr>
      </w:pPr>
      <w:r>
        <w:rPr>
          <w:rFonts w:hint="eastAsia" w:ascii="宋体" w:hAnsi="宋体" w:eastAsia="宋体" w:cs="宋体"/>
          <w:b/>
          <w:bCs/>
          <w:color w:val="auto"/>
          <w:kern w:val="2"/>
          <w:sz w:val="24"/>
          <w:szCs w:val="24"/>
          <w:highlight w:val="none"/>
          <w:lang w:val="en-US" w:eastAsia="zh-CN" w:bidi="ar-SA"/>
        </w:rPr>
        <w:t>第七条  甲方的权利和义务</w:t>
      </w:r>
    </w:p>
    <w:p w14:paraId="2B9226C1">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1、甲方有权对合同规定范围内乙方的服务行为进行监督和检查，拥有监管权。有权定期核对乙方提供服务所配备的人员数量。对甲方认为不合理的部分有权下达整改通知书，并要求乙方限期整改。</w:t>
      </w:r>
    </w:p>
    <w:p w14:paraId="03FDA177">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2、甲方有权依据双方签订的考评办法对乙方提供的服务进行定期考评。</w:t>
      </w:r>
    </w:p>
    <w:p w14:paraId="47CC5290">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3、负责检查监督乙方管理工作的实施及制度的执行情况。</w:t>
      </w:r>
    </w:p>
    <w:p w14:paraId="396110B5">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4、根据本合同规定，按时向乙方支付应付服务费用。</w:t>
      </w:r>
    </w:p>
    <w:p w14:paraId="194FD4BA">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5、国家法律、法规所规定由甲方承担的其它责任。</w:t>
      </w:r>
    </w:p>
    <w:p w14:paraId="7BDE67A9">
      <w:pPr>
        <w:spacing w:line="360" w:lineRule="auto"/>
        <w:rPr>
          <w:rFonts w:hint="eastAsia" w:ascii="宋体" w:hAnsi="宋体" w:eastAsia="宋体" w:cs="宋体"/>
          <w:b/>
          <w:bCs/>
          <w:color w:val="auto"/>
          <w:kern w:val="2"/>
          <w:sz w:val="24"/>
          <w:szCs w:val="24"/>
          <w:highlight w:val="none"/>
          <w:lang w:val="en-US" w:eastAsia="zh-CN" w:bidi="ar-SA"/>
        </w:rPr>
      </w:pPr>
      <w:r>
        <w:rPr>
          <w:rFonts w:hint="eastAsia" w:ascii="宋体" w:hAnsi="宋体" w:eastAsia="宋体" w:cs="宋体"/>
          <w:b/>
          <w:bCs/>
          <w:color w:val="auto"/>
          <w:kern w:val="2"/>
          <w:sz w:val="24"/>
          <w:szCs w:val="24"/>
          <w:highlight w:val="none"/>
          <w:lang w:val="en-US" w:eastAsia="zh-CN" w:bidi="ar-SA"/>
        </w:rPr>
        <w:t>第八条  乙方的权利和义务</w:t>
      </w:r>
    </w:p>
    <w:p w14:paraId="38AD85C1">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1、对本合同规定的委托服务范围内的项目享有管理权及服务义务。</w:t>
      </w:r>
    </w:p>
    <w:p w14:paraId="4C6F75E6">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2、根据本合同的规定向甲方收取相关服务费用，并有权在本项目管理范围内管理及合理使用。</w:t>
      </w:r>
    </w:p>
    <w:p w14:paraId="0CCEB7E1">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3、及时向甲方通告本项目服务范围内有关服务的重大事项，及时配合处理投诉。</w:t>
      </w:r>
    </w:p>
    <w:p w14:paraId="5F38E1F7">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4、接受项目行业管理部门及政府有关部门的指导，接受甲方的监督。</w:t>
      </w:r>
    </w:p>
    <w:p w14:paraId="1CEDA14F">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5、国家法律、法规所规定由乙方承担的其它责任。</w:t>
      </w:r>
    </w:p>
    <w:p w14:paraId="515F8AC8">
      <w:pPr>
        <w:spacing w:line="360" w:lineRule="auto"/>
        <w:rPr>
          <w:rFonts w:hint="eastAsia" w:ascii="宋体" w:hAnsi="宋体" w:eastAsia="宋体" w:cs="宋体"/>
          <w:b/>
          <w:bCs/>
          <w:color w:val="auto"/>
          <w:kern w:val="2"/>
          <w:sz w:val="24"/>
          <w:szCs w:val="24"/>
          <w:highlight w:val="none"/>
          <w:lang w:val="en-US" w:eastAsia="zh-CN" w:bidi="ar-SA"/>
        </w:rPr>
      </w:pPr>
      <w:r>
        <w:rPr>
          <w:rFonts w:hint="eastAsia" w:ascii="宋体" w:hAnsi="宋体" w:eastAsia="宋体" w:cs="宋体"/>
          <w:b/>
          <w:bCs/>
          <w:color w:val="auto"/>
          <w:kern w:val="2"/>
          <w:sz w:val="24"/>
          <w:szCs w:val="24"/>
          <w:highlight w:val="none"/>
          <w:lang w:val="en-US" w:eastAsia="zh-CN" w:bidi="ar-SA"/>
        </w:rPr>
        <w:t>第九条  违约责任</w:t>
      </w:r>
    </w:p>
    <w:p w14:paraId="771C6C5D">
      <w:pPr>
        <w:keepNext w:val="0"/>
        <w:keepLines w:val="0"/>
        <w:pageBreakBefore w:val="0"/>
        <w:widowControl w:val="0"/>
        <w:kinsoku/>
        <w:wordWrap/>
        <w:overflowPunct/>
        <w:topLinePunct w:val="0"/>
        <w:autoSpaceDE/>
        <w:autoSpaceDN/>
        <w:bidi w:val="0"/>
        <w:adjustRightInd w:val="0"/>
        <w:snapToGrid/>
        <w:spacing w:line="360" w:lineRule="auto"/>
        <w:ind w:firstLine="480" w:firstLineChars="200"/>
        <w:jc w:val="left"/>
        <w:textAlignment w:val="baseline"/>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1、甲乙双方必须遵守本合同并执行合同中的各项规定，保证本合同的正常履行。</w:t>
      </w:r>
    </w:p>
    <w:p w14:paraId="2E8C65D2">
      <w:pPr>
        <w:keepNext w:val="0"/>
        <w:keepLines w:val="0"/>
        <w:pageBreakBefore w:val="0"/>
        <w:widowControl w:val="0"/>
        <w:kinsoku/>
        <w:wordWrap/>
        <w:overflowPunct/>
        <w:topLinePunct w:val="0"/>
        <w:autoSpaceDE/>
        <w:autoSpaceDN/>
        <w:bidi w:val="0"/>
        <w:adjustRightInd w:val="0"/>
        <w:snapToGrid/>
        <w:spacing w:line="360" w:lineRule="auto"/>
        <w:ind w:firstLine="480" w:firstLineChars="200"/>
        <w:jc w:val="left"/>
        <w:textAlignment w:val="baseline"/>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2、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p>
    <w:p w14:paraId="53BFE7C7">
      <w:pPr>
        <w:spacing w:line="360" w:lineRule="auto"/>
        <w:rPr>
          <w:rFonts w:hint="eastAsia" w:ascii="宋体" w:hAnsi="宋体" w:eastAsia="宋体" w:cs="宋体"/>
          <w:b/>
          <w:bCs/>
          <w:color w:val="auto"/>
          <w:kern w:val="2"/>
          <w:sz w:val="24"/>
          <w:szCs w:val="24"/>
          <w:highlight w:val="none"/>
          <w:lang w:val="en-US" w:eastAsia="zh-CN" w:bidi="ar-SA"/>
        </w:rPr>
      </w:pPr>
      <w:r>
        <w:rPr>
          <w:rFonts w:hint="eastAsia" w:ascii="宋体" w:hAnsi="宋体" w:eastAsia="宋体" w:cs="宋体"/>
          <w:b/>
          <w:bCs/>
          <w:color w:val="auto"/>
          <w:kern w:val="2"/>
          <w:sz w:val="24"/>
          <w:szCs w:val="24"/>
          <w:highlight w:val="none"/>
          <w:lang w:val="en-US" w:eastAsia="zh-CN" w:bidi="ar-SA"/>
        </w:rPr>
        <w:t>第十条  不可抗力事件处理</w:t>
      </w:r>
    </w:p>
    <w:p w14:paraId="0552DECE">
      <w:pPr>
        <w:keepNext w:val="0"/>
        <w:keepLines w:val="0"/>
        <w:pageBreakBefore w:val="0"/>
        <w:widowControl w:val="0"/>
        <w:tabs>
          <w:tab w:val="left" w:pos="0"/>
        </w:tabs>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1、在合同有效期内，任何一方因不可抗力事件导致不能履行合同，则合同履行期可延长，其延长期与不可抗力影响期相同。</w:t>
      </w:r>
    </w:p>
    <w:p w14:paraId="3104B582">
      <w:pPr>
        <w:keepNext w:val="0"/>
        <w:keepLines w:val="0"/>
        <w:pageBreakBefore w:val="0"/>
        <w:widowControl w:val="0"/>
        <w:tabs>
          <w:tab w:val="left" w:pos="0"/>
        </w:tabs>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2、不可抗力事件发生后，应立即通知对方，并寄送有关权威机构出具的证明。</w:t>
      </w:r>
    </w:p>
    <w:p w14:paraId="78016790">
      <w:pPr>
        <w:keepNext w:val="0"/>
        <w:keepLines w:val="0"/>
        <w:pageBreakBefore w:val="0"/>
        <w:widowControl w:val="0"/>
        <w:tabs>
          <w:tab w:val="left" w:pos="0"/>
        </w:tabs>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3、不可抗力事件延续</w:t>
      </w:r>
      <w:r>
        <w:rPr>
          <w:rFonts w:hint="eastAsia" w:ascii="宋体" w:hAnsi="宋体" w:eastAsia="宋体" w:cs="宋体"/>
          <w:color w:val="auto"/>
          <w:kern w:val="2"/>
          <w:sz w:val="24"/>
          <w:szCs w:val="24"/>
          <w:highlight w:val="none"/>
          <w:u w:val="single"/>
          <w:lang w:val="en-US" w:eastAsia="zh-CN" w:bidi="ar-SA"/>
        </w:rPr>
        <w:t xml:space="preserve">      </w:t>
      </w:r>
      <w:r>
        <w:rPr>
          <w:rFonts w:hint="eastAsia" w:ascii="宋体" w:hAnsi="宋体" w:eastAsia="宋体" w:cs="宋体"/>
          <w:color w:val="auto"/>
          <w:kern w:val="2"/>
          <w:sz w:val="24"/>
          <w:szCs w:val="24"/>
          <w:highlight w:val="none"/>
          <w:lang w:val="en-US" w:eastAsia="zh-CN" w:bidi="ar-SA"/>
        </w:rPr>
        <w:t>天以上，双方应通过友好协商，确定是否继续履行合同。</w:t>
      </w:r>
    </w:p>
    <w:p w14:paraId="427BC580">
      <w:pPr>
        <w:spacing w:line="360" w:lineRule="auto"/>
        <w:rPr>
          <w:rFonts w:hint="eastAsia" w:ascii="宋体" w:hAnsi="宋体" w:eastAsia="宋体" w:cs="宋体"/>
          <w:b/>
          <w:bCs/>
          <w:color w:val="auto"/>
          <w:kern w:val="2"/>
          <w:sz w:val="24"/>
          <w:szCs w:val="24"/>
          <w:highlight w:val="none"/>
          <w:lang w:val="en-US" w:eastAsia="zh-CN" w:bidi="ar-SA"/>
        </w:rPr>
      </w:pPr>
      <w:bookmarkStart w:id="0" w:name="_Toc239233919"/>
      <w:bookmarkStart w:id="1" w:name="_Toc251768867"/>
      <w:bookmarkStart w:id="2" w:name="_Toc212019599"/>
      <w:bookmarkStart w:id="3" w:name="_Toc225654649"/>
      <w:bookmarkStart w:id="4" w:name="_Toc239568423"/>
      <w:bookmarkStart w:id="5" w:name="_Toc237145411"/>
      <w:bookmarkStart w:id="6" w:name="_Toc247334846"/>
      <w:bookmarkStart w:id="7" w:name="_Toc211911353"/>
      <w:bookmarkStart w:id="8" w:name="_Toc241833908"/>
      <w:bookmarkStart w:id="9" w:name="_Toc286993792"/>
      <w:bookmarkStart w:id="10" w:name="_Toc225244857"/>
      <w:bookmarkStart w:id="11" w:name="_Toc185395254"/>
      <w:bookmarkStart w:id="12" w:name="_Toc232492933"/>
      <w:bookmarkStart w:id="13" w:name="_Toc211854454"/>
      <w:bookmarkStart w:id="14" w:name="_Toc225670756"/>
      <w:bookmarkStart w:id="15" w:name="_Toc238984980"/>
      <w:r>
        <w:rPr>
          <w:rFonts w:hint="eastAsia" w:ascii="宋体" w:hAnsi="宋体" w:eastAsia="宋体" w:cs="宋体"/>
          <w:b/>
          <w:bCs/>
          <w:color w:val="auto"/>
          <w:kern w:val="2"/>
          <w:sz w:val="24"/>
          <w:szCs w:val="24"/>
          <w:highlight w:val="none"/>
          <w:lang w:val="en-US" w:eastAsia="zh-CN" w:bidi="ar-SA"/>
        </w:rPr>
        <w:t>第十一条  合同的变更和终止</w:t>
      </w:r>
    </w:p>
    <w:p w14:paraId="20EA9673">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除《中华人民共和国政府采购法》第49条、第50条第二款规定的情形外，本合同一经签订，甲乙双方不得擅自变更、中止或终止合同。</w:t>
      </w:r>
    </w:p>
    <w:p w14:paraId="249AA58F">
      <w:pPr>
        <w:spacing w:line="360" w:lineRule="auto"/>
        <w:rPr>
          <w:rFonts w:hint="eastAsia" w:ascii="宋体" w:hAnsi="宋体" w:eastAsia="宋体" w:cs="宋体"/>
          <w:b/>
          <w:bCs/>
          <w:color w:val="auto"/>
          <w:kern w:val="2"/>
          <w:sz w:val="24"/>
          <w:szCs w:val="24"/>
          <w:highlight w:val="none"/>
          <w:lang w:val="en-US" w:eastAsia="zh-CN" w:bidi="ar-SA"/>
        </w:rPr>
      </w:pPr>
      <w:r>
        <w:rPr>
          <w:rFonts w:hint="eastAsia" w:ascii="宋体" w:hAnsi="宋体" w:eastAsia="宋体" w:cs="宋体"/>
          <w:b/>
          <w:bCs/>
          <w:color w:val="auto"/>
          <w:kern w:val="2"/>
          <w:sz w:val="24"/>
          <w:szCs w:val="24"/>
          <w:highlight w:val="none"/>
          <w:lang w:val="en-US" w:eastAsia="zh-CN" w:bidi="ar-SA"/>
        </w:rPr>
        <w:t>第十二条  解决合同纠纷的方式</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7B6BC9A2">
      <w:pPr>
        <w:pStyle w:val="10"/>
        <w:keepNext w:val="0"/>
        <w:keepLines w:val="0"/>
        <w:pageBreakBefore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kern w:val="2"/>
          <w:sz w:val="24"/>
          <w:szCs w:val="24"/>
          <w:highlight w:val="none"/>
          <w:lang w:val="en-US" w:eastAsia="zh-CN" w:bidi="ar-SA"/>
        </w:rPr>
      </w:pPr>
      <w:bookmarkStart w:id="16" w:name="_Toc286993793"/>
      <w:bookmarkStart w:id="17" w:name="_Toc239233920"/>
      <w:bookmarkStart w:id="18" w:name="_Toc185395255"/>
      <w:bookmarkStart w:id="19" w:name="_Toc239568424"/>
      <w:bookmarkStart w:id="20" w:name="_Toc238984981"/>
      <w:bookmarkStart w:id="21" w:name="_Toc212019600"/>
      <w:bookmarkStart w:id="22" w:name="_Toc237145412"/>
      <w:bookmarkStart w:id="23" w:name="_Toc225654650"/>
      <w:bookmarkStart w:id="24" w:name="_Toc225670757"/>
      <w:bookmarkStart w:id="25" w:name="_Toc211854455"/>
      <w:bookmarkStart w:id="26" w:name="_Toc225244858"/>
      <w:bookmarkStart w:id="27" w:name="_Toc211911354"/>
      <w:bookmarkStart w:id="28" w:name="_Toc232492934"/>
      <w:bookmarkStart w:id="29" w:name="_Toc283019219"/>
      <w:bookmarkStart w:id="30" w:name="_Toc241833909"/>
      <w:bookmarkStart w:id="31" w:name="_Toc282696231"/>
      <w:bookmarkStart w:id="32" w:name="_Toc251768868"/>
      <w:bookmarkStart w:id="33" w:name="_Toc247334847"/>
      <w:r>
        <w:rPr>
          <w:rFonts w:hint="eastAsia" w:ascii="宋体" w:hAnsi="宋体" w:eastAsia="宋体" w:cs="宋体"/>
          <w:color w:val="auto"/>
          <w:kern w:val="2"/>
          <w:sz w:val="24"/>
          <w:szCs w:val="24"/>
          <w:highlight w:val="none"/>
          <w:lang w:val="en-US" w:eastAsia="zh-CN" w:bidi="ar-SA"/>
        </w:rPr>
        <w:t>凡因本合同引起的或与本合同有关的争议，双方应友好协商解决。协商不成时，双方均同意采用以下第</w:t>
      </w:r>
      <w:r>
        <w:rPr>
          <w:rFonts w:hint="eastAsia" w:ascii="宋体" w:hAnsi="宋体" w:eastAsia="宋体" w:cs="宋体"/>
          <w:color w:val="auto"/>
          <w:kern w:val="2"/>
          <w:sz w:val="24"/>
          <w:szCs w:val="24"/>
          <w:highlight w:val="none"/>
          <w:u w:val="single"/>
          <w:lang w:val="en-US" w:eastAsia="zh-CN" w:bidi="ar-SA"/>
        </w:rPr>
        <w:t>（  ）</w:t>
      </w:r>
      <w:r>
        <w:rPr>
          <w:rFonts w:hint="eastAsia" w:ascii="宋体" w:hAnsi="宋体" w:eastAsia="宋体" w:cs="宋体"/>
          <w:color w:val="auto"/>
          <w:kern w:val="2"/>
          <w:sz w:val="24"/>
          <w:szCs w:val="24"/>
          <w:highlight w:val="none"/>
          <w:lang w:val="en-US" w:eastAsia="zh-CN" w:bidi="ar-SA"/>
        </w:rPr>
        <w:t>种争议解决方式：</w:t>
      </w:r>
    </w:p>
    <w:p w14:paraId="5004FDDB">
      <w:pPr>
        <w:pStyle w:val="10"/>
        <w:keepNext w:val="0"/>
        <w:keepLines w:val="0"/>
        <w:pageBreakBefore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（1）甲、乙双方均同意向（甲方所在地人民法院）提起诉讼。</w:t>
      </w:r>
    </w:p>
    <w:p w14:paraId="4744CBC8">
      <w:pPr>
        <w:pStyle w:val="10"/>
        <w:keepNext w:val="0"/>
        <w:keepLines w:val="0"/>
        <w:pageBreakBefore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（2）甲、乙双方均同意向（</w:t>
      </w:r>
      <w:r>
        <w:rPr>
          <w:rFonts w:hint="eastAsia" w:ascii="宋体" w:hAnsi="宋体" w:eastAsia="宋体" w:cs="宋体"/>
          <w:color w:val="auto"/>
          <w:kern w:val="2"/>
          <w:sz w:val="24"/>
          <w:szCs w:val="24"/>
          <w:highlight w:val="none"/>
          <w:lang w:val="en-US" w:eastAsia="zh-CN" w:bidi="ar-SA"/>
        </w:rPr>
        <w:fldChar w:fldCharType="begin"/>
      </w:r>
      <w:r>
        <w:rPr>
          <w:rFonts w:hint="eastAsia" w:ascii="宋体" w:hAnsi="宋体" w:eastAsia="宋体" w:cs="宋体"/>
          <w:color w:val="auto"/>
          <w:kern w:val="2"/>
          <w:sz w:val="24"/>
          <w:szCs w:val="24"/>
          <w:highlight w:val="none"/>
          <w:lang w:val="en-US" w:eastAsia="zh-CN" w:bidi="ar-SA"/>
        </w:rPr>
        <w:instrText xml:space="preserve"> HYPERLINK "http://www.baidu.com/s?wd=%E4%BB%B2%E8%A3%81%E5%A7%94%E5%91%98%E4%BC%9A&amp;tn=SE_PcZhidaonwhc_ngpagmjz&amp;rsv_dl=gh_pc_zhidao" \t "_blank" </w:instrText>
      </w:r>
      <w:r>
        <w:rPr>
          <w:rFonts w:hint="eastAsia" w:ascii="宋体" w:hAnsi="宋体" w:eastAsia="宋体" w:cs="宋体"/>
          <w:color w:val="auto"/>
          <w:kern w:val="2"/>
          <w:sz w:val="24"/>
          <w:szCs w:val="24"/>
          <w:highlight w:val="none"/>
          <w:lang w:val="en-US" w:eastAsia="zh-CN" w:bidi="ar-SA"/>
        </w:rPr>
        <w:fldChar w:fldCharType="separate"/>
      </w:r>
      <w:r>
        <w:rPr>
          <w:rFonts w:hint="eastAsia" w:ascii="宋体" w:hAnsi="宋体" w:eastAsia="宋体" w:cs="宋体"/>
          <w:color w:val="auto"/>
          <w:kern w:val="2"/>
          <w:sz w:val="24"/>
          <w:szCs w:val="24"/>
          <w:highlight w:val="none"/>
          <w:lang w:val="en-US" w:eastAsia="zh-CN" w:bidi="ar-SA"/>
        </w:rPr>
        <w:t>仲裁委员会</w:t>
      </w:r>
      <w:r>
        <w:rPr>
          <w:rFonts w:hint="eastAsia" w:ascii="宋体" w:hAnsi="宋体" w:eastAsia="宋体" w:cs="宋体"/>
          <w:color w:val="auto"/>
          <w:kern w:val="2"/>
          <w:sz w:val="24"/>
          <w:szCs w:val="24"/>
          <w:highlight w:val="none"/>
          <w:lang w:val="en-US" w:eastAsia="zh-CN" w:bidi="ar-SA"/>
        </w:rPr>
        <w:fldChar w:fldCharType="end"/>
      </w:r>
      <w:r>
        <w:rPr>
          <w:rFonts w:hint="eastAsia" w:ascii="宋体" w:hAnsi="宋体" w:eastAsia="宋体" w:cs="宋体"/>
          <w:color w:val="auto"/>
          <w:kern w:val="2"/>
          <w:sz w:val="24"/>
          <w:szCs w:val="24"/>
          <w:highlight w:val="none"/>
          <w:lang w:val="en-US" w:eastAsia="zh-CN" w:bidi="ar-SA"/>
        </w:rPr>
        <w:t>）提起仲裁。</w:t>
      </w:r>
    </w:p>
    <w:p w14:paraId="177753CC">
      <w:pPr>
        <w:pStyle w:val="10"/>
        <w:spacing w:line="360" w:lineRule="auto"/>
        <w:ind w:left="0" w:leftChars="0" w:firstLine="0" w:firstLineChars="0"/>
        <w:rPr>
          <w:rFonts w:hint="eastAsia" w:ascii="宋体" w:hAnsi="宋体" w:eastAsia="宋体" w:cs="宋体"/>
          <w:b/>
          <w:bCs/>
          <w:color w:val="auto"/>
          <w:kern w:val="2"/>
          <w:sz w:val="24"/>
          <w:szCs w:val="24"/>
          <w:highlight w:val="none"/>
          <w:lang w:val="en-US" w:eastAsia="zh-CN" w:bidi="ar-SA"/>
        </w:rPr>
      </w:pPr>
      <w:r>
        <w:rPr>
          <w:rFonts w:hint="eastAsia" w:ascii="宋体" w:hAnsi="宋体" w:eastAsia="宋体" w:cs="宋体"/>
          <w:b/>
          <w:bCs/>
          <w:color w:val="auto"/>
          <w:kern w:val="2"/>
          <w:sz w:val="24"/>
          <w:szCs w:val="24"/>
          <w:highlight w:val="none"/>
          <w:lang w:val="en-US" w:eastAsia="zh-CN" w:bidi="ar-SA"/>
        </w:rPr>
        <w:t>第十三条  合同</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r>
        <w:rPr>
          <w:rFonts w:hint="eastAsia" w:ascii="宋体" w:hAnsi="宋体" w:eastAsia="宋体" w:cs="宋体"/>
          <w:b/>
          <w:bCs/>
          <w:color w:val="auto"/>
          <w:kern w:val="2"/>
          <w:sz w:val="24"/>
          <w:szCs w:val="24"/>
          <w:highlight w:val="none"/>
          <w:lang w:val="en-US" w:eastAsia="zh-CN" w:bidi="ar-SA"/>
        </w:rPr>
        <w:t>生效及其他</w:t>
      </w:r>
    </w:p>
    <w:p w14:paraId="2B135886">
      <w:pPr>
        <w:pStyle w:val="10"/>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1、合同经双方法定代表人(单位负责人）或授权委托代理人签名并加盖单位公章并由采购代理机构盖章后生效。</w:t>
      </w:r>
    </w:p>
    <w:p w14:paraId="7A9DF404">
      <w:pPr>
        <w:pStyle w:val="10"/>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2、合同执行中涉及采购资金和采购内容修改或补充的，须经政府采购监管部门审批，并签书面补充协议报政府采购监督管理部门备案，方可作为主合同不可分割的一部分。</w:t>
      </w:r>
    </w:p>
    <w:p w14:paraId="5F67B0D7">
      <w:pPr>
        <w:pStyle w:val="10"/>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3、本合同一式陆份，自双方签章之日起起效。甲方贰份，乙方贰份，政府采购代理机构壹份，同级财政部门备案壹份，具有同等法律效力。</w:t>
      </w:r>
    </w:p>
    <w:p w14:paraId="1FA6D2EC">
      <w:pPr>
        <w:spacing w:line="360" w:lineRule="auto"/>
        <w:rPr>
          <w:rFonts w:hint="eastAsia" w:ascii="宋体" w:hAnsi="宋体" w:eastAsia="宋体" w:cs="宋体"/>
          <w:b/>
          <w:bCs/>
          <w:color w:val="auto"/>
          <w:kern w:val="2"/>
          <w:sz w:val="24"/>
          <w:szCs w:val="24"/>
          <w:highlight w:val="none"/>
          <w:lang w:val="en-US" w:eastAsia="zh-CN" w:bidi="ar-SA"/>
        </w:rPr>
      </w:pPr>
      <w:r>
        <w:rPr>
          <w:rFonts w:hint="eastAsia" w:ascii="宋体" w:hAnsi="宋体" w:eastAsia="宋体" w:cs="宋体"/>
          <w:b/>
          <w:bCs/>
          <w:color w:val="auto"/>
          <w:kern w:val="2"/>
          <w:sz w:val="24"/>
          <w:szCs w:val="24"/>
          <w:highlight w:val="none"/>
          <w:lang w:val="en-US" w:eastAsia="zh-CN" w:bidi="ar-SA"/>
        </w:rPr>
        <w:t>第十四条  合同组成</w:t>
      </w:r>
    </w:p>
    <w:p w14:paraId="58205CDF">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1、成交通知书</w:t>
      </w:r>
    </w:p>
    <w:p w14:paraId="4492D20E">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2、合同文件</w:t>
      </w:r>
    </w:p>
    <w:p w14:paraId="46063598">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3、国家相关规范及标准</w:t>
      </w:r>
    </w:p>
    <w:p w14:paraId="1F8D765E">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4、单一来源采购文件</w:t>
      </w:r>
    </w:p>
    <w:p w14:paraId="67B82DDF">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5、响应文件</w:t>
      </w:r>
    </w:p>
    <w:tbl>
      <w:tblPr>
        <w:tblStyle w:val="7"/>
        <w:tblpPr w:leftFromText="180" w:rightFromText="180" w:vertAnchor="text" w:horzAnchor="page" w:tblpX="1448" w:tblpY="83"/>
        <w:tblOverlap w:val="never"/>
        <w:tblW w:w="8680" w:type="dxa"/>
        <w:tblInd w:w="0" w:type="dxa"/>
        <w:tblLayout w:type="fixed"/>
        <w:tblCellMar>
          <w:top w:w="0" w:type="dxa"/>
          <w:left w:w="108" w:type="dxa"/>
          <w:bottom w:w="0" w:type="dxa"/>
          <w:right w:w="108" w:type="dxa"/>
        </w:tblCellMar>
      </w:tblPr>
      <w:tblGrid>
        <w:gridCol w:w="4340"/>
        <w:gridCol w:w="4340"/>
      </w:tblGrid>
      <w:tr w14:paraId="39E8788D">
        <w:tblPrEx>
          <w:tblCellMar>
            <w:top w:w="0" w:type="dxa"/>
            <w:left w:w="108" w:type="dxa"/>
            <w:bottom w:w="0" w:type="dxa"/>
            <w:right w:w="108" w:type="dxa"/>
          </w:tblCellMar>
        </w:tblPrEx>
        <w:trPr>
          <w:trHeight w:val="3118" w:hRule="atLeast"/>
        </w:trPr>
        <w:tc>
          <w:tcPr>
            <w:tcW w:w="4340" w:type="dxa"/>
            <w:noWrap w:val="0"/>
            <w:vAlign w:val="top"/>
          </w:tcPr>
          <w:p w14:paraId="5152E229">
            <w:pPr>
              <w:bidi w:val="0"/>
              <w:rPr>
                <w:rFonts w:hint="eastAsia"/>
              </w:rPr>
            </w:pPr>
          </w:p>
          <w:p w14:paraId="30AA6CF5">
            <w:pPr>
              <w:snapToGrid w:val="0"/>
              <w:spacing w:line="360" w:lineRule="auto"/>
              <w:ind w:left="210" w:leftChars="100" w:firstLine="374" w:firstLineChars="156"/>
              <w:rPr>
                <w:rFonts w:hint="eastAsia" w:ascii="宋体" w:hAnsi="宋体" w:eastAsia="宋体" w:cs="宋体"/>
                <w:sz w:val="24"/>
                <w:szCs w:val="24"/>
              </w:rPr>
            </w:pPr>
            <w:r>
              <w:rPr>
                <w:rFonts w:hint="eastAsia" w:ascii="宋体" w:hAnsi="宋体" w:eastAsia="宋体" w:cs="宋体"/>
                <w:sz w:val="24"/>
                <w:szCs w:val="24"/>
              </w:rPr>
              <w:t>甲方名称（盖章）:</w:t>
            </w:r>
          </w:p>
          <w:p w14:paraId="32D413A8">
            <w:pPr>
              <w:snapToGrid w:val="0"/>
              <w:spacing w:line="360" w:lineRule="auto"/>
              <w:ind w:left="210" w:leftChars="100" w:firstLine="374" w:firstLineChars="156"/>
              <w:rPr>
                <w:rFonts w:hint="eastAsia" w:ascii="宋体" w:hAnsi="宋体" w:eastAsia="宋体" w:cs="宋体"/>
                <w:sz w:val="24"/>
                <w:szCs w:val="24"/>
              </w:rPr>
            </w:pPr>
            <w:r>
              <w:rPr>
                <w:rFonts w:hint="eastAsia" w:ascii="宋体" w:hAnsi="宋体" w:eastAsia="宋体" w:cs="宋体"/>
                <w:sz w:val="24"/>
                <w:szCs w:val="24"/>
              </w:rPr>
              <w:t>地址：</w:t>
            </w:r>
          </w:p>
          <w:p w14:paraId="7C0144BD">
            <w:pPr>
              <w:snapToGrid w:val="0"/>
              <w:spacing w:line="360" w:lineRule="auto"/>
              <w:ind w:left="210" w:leftChars="100" w:firstLine="374" w:firstLineChars="156"/>
              <w:rPr>
                <w:rFonts w:hint="eastAsia" w:ascii="宋体" w:hAnsi="宋体" w:eastAsia="宋体" w:cs="宋体"/>
                <w:sz w:val="24"/>
                <w:szCs w:val="24"/>
              </w:rPr>
            </w:pPr>
            <w:r>
              <w:rPr>
                <w:rFonts w:hint="eastAsia" w:ascii="宋体" w:hAnsi="宋体" w:eastAsia="宋体" w:cs="宋体"/>
                <w:sz w:val="24"/>
                <w:szCs w:val="24"/>
              </w:rPr>
              <w:t>代表人（签字）：</w:t>
            </w:r>
          </w:p>
          <w:p w14:paraId="2673A722">
            <w:pPr>
              <w:snapToGrid w:val="0"/>
              <w:spacing w:line="360" w:lineRule="auto"/>
              <w:ind w:left="210" w:leftChars="100" w:firstLine="374" w:firstLineChars="156"/>
              <w:rPr>
                <w:rFonts w:hint="eastAsia" w:ascii="宋体" w:hAnsi="宋体" w:eastAsia="宋体" w:cs="宋体"/>
                <w:sz w:val="24"/>
                <w:szCs w:val="24"/>
              </w:rPr>
            </w:pPr>
            <w:r>
              <w:rPr>
                <w:rFonts w:hint="eastAsia" w:ascii="宋体" w:hAnsi="宋体" w:eastAsia="宋体" w:cs="宋体"/>
                <w:sz w:val="24"/>
                <w:szCs w:val="24"/>
              </w:rPr>
              <w:t>电话：</w:t>
            </w:r>
          </w:p>
          <w:p w14:paraId="6242E5B7">
            <w:pPr>
              <w:snapToGrid w:val="0"/>
              <w:spacing w:line="360" w:lineRule="auto"/>
              <w:ind w:left="210" w:leftChars="100" w:firstLine="374" w:firstLineChars="156"/>
              <w:rPr>
                <w:rFonts w:hint="eastAsia" w:ascii="宋体" w:hAnsi="宋体" w:eastAsia="宋体" w:cs="宋体"/>
                <w:sz w:val="24"/>
                <w:szCs w:val="24"/>
              </w:rPr>
            </w:pPr>
            <w:r>
              <w:rPr>
                <w:rFonts w:hint="eastAsia" w:ascii="宋体" w:hAnsi="宋体" w:eastAsia="宋体" w:cs="宋体"/>
                <w:sz w:val="24"/>
                <w:szCs w:val="24"/>
              </w:rPr>
              <w:t>开户银行：</w:t>
            </w:r>
          </w:p>
          <w:p w14:paraId="2C27D5EB">
            <w:pPr>
              <w:snapToGrid w:val="0"/>
              <w:spacing w:line="360" w:lineRule="auto"/>
              <w:ind w:left="210" w:leftChars="100" w:firstLine="374" w:firstLineChars="156"/>
              <w:rPr>
                <w:rFonts w:hint="eastAsia" w:ascii="宋体" w:hAnsi="宋体" w:eastAsia="宋体" w:cs="宋体"/>
                <w:sz w:val="24"/>
                <w:szCs w:val="24"/>
              </w:rPr>
            </w:pPr>
            <w:r>
              <w:rPr>
                <w:rFonts w:hint="eastAsia" w:ascii="宋体" w:hAnsi="宋体" w:eastAsia="宋体" w:cs="宋体"/>
                <w:sz w:val="24"/>
                <w:szCs w:val="24"/>
                <w:lang w:eastAsia="zh-CN"/>
              </w:rPr>
              <w:t>账号</w:t>
            </w:r>
            <w:r>
              <w:rPr>
                <w:rFonts w:hint="eastAsia" w:ascii="宋体" w:hAnsi="宋体" w:eastAsia="宋体" w:cs="宋体"/>
                <w:sz w:val="24"/>
                <w:szCs w:val="24"/>
              </w:rPr>
              <w:t>：</w:t>
            </w:r>
          </w:p>
        </w:tc>
        <w:tc>
          <w:tcPr>
            <w:tcW w:w="4340" w:type="dxa"/>
            <w:noWrap w:val="0"/>
            <w:vAlign w:val="top"/>
          </w:tcPr>
          <w:p w14:paraId="678BDA59">
            <w:pPr>
              <w:bidi w:val="0"/>
              <w:rPr>
                <w:rFonts w:hint="eastAsia"/>
              </w:rPr>
            </w:pPr>
          </w:p>
          <w:p w14:paraId="73411DBA">
            <w:pPr>
              <w:snapToGrid w:val="0"/>
              <w:spacing w:line="360" w:lineRule="auto"/>
              <w:ind w:left="210" w:leftChars="100" w:firstLine="374" w:firstLineChars="156"/>
              <w:rPr>
                <w:rFonts w:hint="eastAsia" w:ascii="宋体" w:hAnsi="宋体" w:eastAsia="宋体" w:cs="宋体"/>
                <w:sz w:val="24"/>
                <w:szCs w:val="24"/>
              </w:rPr>
            </w:pPr>
            <w:r>
              <w:rPr>
                <w:rFonts w:hint="eastAsia" w:ascii="宋体" w:hAnsi="宋体" w:eastAsia="宋体" w:cs="宋体"/>
                <w:sz w:val="24"/>
                <w:szCs w:val="24"/>
              </w:rPr>
              <w:t>乙方名称（盖章）:</w:t>
            </w:r>
          </w:p>
          <w:p w14:paraId="39F8EB3B">
            <w:pPr>
              <w:snapToGrid w:val="0"/>
              <w:spacing w:line="360" w:lineRule="auto"/>
              <w:ind w:left="210" w:leftChars="100" w:firstLine="374" w:firstLineChars="156"/>
              <w:rPr>
                <w:rFonts w:hint="eastAsia" w:ascii="宋体" w:hAnsi="宋体" w:eastAsia="宋体" w:cs="宋体"/>
                <w:sz w:val="24"/>
                <w:szCs w:val="24"/>
              </w:rPr>
            </w:pPr>
            <w:r>
              <w:rPr>
                <w:rFonts w:hint="eastAsia" w:ascii="宋体" w:hAnsi="宋体" w:eastAsia="宋体" w:cs="宋体"/>
                <w:sz w:val="24"/>
                <w:szCs w:val="24"/>
              </w:rPr>
              <w:t>地址：</w:t>
            </w:r>
          </w:p>
          <w:p w14:paraId="7C315248">
            <w:pPr>
              <w:snapToGrid w:val="0"/>
              <w:spacing w:line="360" w:lineRule="auto"/>
              <w:ind w:left="210" w:leftChars="100" w:firstLine="374" w:firstLineChars="156"/>
              <w:rPr>
                <w:rFonts w:hint="eastAsia" w:ascii="宋体" w:hAnsi="宋体" w:eastAsia="宋体" w:cs="宋体"/>
                <w:sz w:val="24"/>
                <w:szCs w:val="24"/>
              </w:rPr>
            </w:pPr>
            <w:r>
              <w:rPr>
                <w:rFonts w:hint="eastAsia" w:ascii="宋体" w:hAnsi="宋体" w:eastAsia="宋体" w:cs="宋体"/>
                <w:sz w:val="24"/>
                <w:szCs w:val="24"/>
              </w:rPr>
              <w:t>代表人（签字）：</w:t>
            </w:r>
          </w:p>
          <w:p w14:paraId="151434B7">
            <w:pPr>
              <w:snapToGrid w:val="0"/>
              <w:spacing w:line="360" w:lineRule="auto"/>
              <w:ind w:left="210" w:leftChars="100" w:firstLine="374" w:firstLineChars="156"/>
              <w:rPr>
                <w:rFonts w:hint="eastAsia" w:ascii="宋体" w:hAnsi="宋体" w:eastAsia="宋体" w:cs="宋体"/>
                <w:sz w:val="24"/>
                <w:szCs w:val="24"/>
              </w:rPr>
            </w:pPr>
            <w:r>
              <w:rPr>
                <w:rFonts w:hint="eastAsia" w:ascii="宋体" w:hAnsi="宋体" w:eastAsia="宋体" w:cs="宋体"/>
                <w:sz w:val="24"/>
                <w:szCs w:val="24"/>
              </w:rPr>
              <w:t>电话：</w:t>
            </w:r>
          </w:p>
          <w:p w14:paraId="184B3922">
            <w:pPr>
              <w:snapToGrid w:val="0"/>
              <w:spacing w:line="360" w:lineRule="auto"/>
              <w:ind w:left="210" w:leftChars="100" w:firstLine="374" w:firstLineChars="156"/>
              <w:rPr>
                <w:rFonts w:hint="eastAsia" w:ascii="宋体" w:hAnsi="宋体" w:eastAsia="宋体" w:cs="宋体"/>
                <w:sz w:val="24"/>
                <w:szCs w:val="24"/>
              </w:rPr>
            </w:pPr>
            <w:r>
              <w:rPr>
                <w:rFonts w:hint="eastAsia" w:ascii="宋体" w:hAnsi="宋体" w:eastAsia="宋体" w:cs="宋体"/>
                <w:sz w:val="24"/>
                <w:szCs w:val="24"/>
              </w:rPr>
              <w:t>开户银行：</w:t>
            </w:r>
          </w:p>
          <w:p w14:paraId="42AE335D">
            <w:pPr>
              <w:snapToGrid w:val="0"/>
              <w:spacing w:line="360" w:lineRule="auto"/>
              <w:ind w:left="210" w:leftChars="100" w:firstLine="374" w:firstLineChars="156"/>
              <w:rPr>
                <w:rFonts w:hint="eastAsia" w:ascii="宋体" w:hAnsi="宋体" w:eastAsia="宋体" w:cs="宋体"/>
                <w:sz w:val="24"/>
                <w:szCs w:val="24"/>
              </w:rPr>
            </w:pPr>
            <w:r>
              <w:rPr>
                <w:rFonts w:hint="eastAsia" w:ascii="宋体" w:hAnsi="宋体" w:eastAsia="宋体" w:cs="宋体"/>
                <w:sz w:val="24"/>
                <w:szCs w:val="24"/>
                <w:lang w:eastAsia="zh-CN"/>
              </w:rPr>
              <w:t>账号</w:t>
            </w:r>
            <w:r>
              <w:rPr>
                <w:rFonts w:hint="eastAsia" w:ascii="宋体" w:hAnsi="宋体" w:eastAsia="宋体" w:cs="宋体"/>
                <w:sz w:val="24"/>
                <w:szCs w:val="24"/>
              </w:rPr>
              <w:t>：</w:t>
            </w:r>
          </w:p>
        </w:tc>
      </w:tr>
    </w:tbl>
    <w:p w14:paraId="240288CA"/>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70606A1"/>
    <w:rsid w:val="204916C9"/>
    <w:rsid w:val="70DF5DF6"/>
    <w:rsid w:val="770606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rFonts w:ascii="Arial" w:hAnsi="Arial" w:eastAsia="仿宋_GB2312"/>
      <w:sz w:val="32"/>
      <w:szCs w:val="20"/>
    </w:rPr>
  </w:style>
  <w:style w:type="paragraph" w:styleId="3">
    <w:name w:val="Body Text Indent"/>
    <w:basedOn w:val="1"/>
    <w:next w:val="1"/>
    <w:qFormat/>
    <w:uiPriority w:val="0"/>
    <w:pPr>
      <w:spacing w:after="120"/>
      <w:ind w:left="420" w:leftChars="200"/>
    </w:pPr>
  </w:style>
  <w:style w:type="paragraph" w:styleId="4">
    <w:name w:val="Normal (Web)"/>
    <w:basedOn w:val="1"/>
    <w:qFormat/>
    <w:uiPriority w:val="0"/>
    <w:pPr>
      <w:widowControl/>
      <w:spacing w:before="100" w:beforeAutospacing="1" w:after="100" w:afterAutospacing="1"/>
      <w:jc w:val="left"/>
    </w:pPr>
    <w:rPr>
      <w:rFonts w:ascii="宋体" w:hAnsi="宋体"/>
      <w:kern w:val="0"/>
      <w:sz w:val="18"/>
      <w:szCs w:val="18"/>
    </w:rPr>
  </w:style>
  <w:style w:type="paragraph" w:styleId="5">
    <w:name w:val="Body Text First Indent"/>
    <w:basedOn w:val="2"/>
    <w:next w:val="6"/>
    <w:unhideWhenUsed/>
    <w:qFormat/>
    <w:uiPriority w:val="99"/>
    <w:pPr>
      <w:ind w:firstLine="420" w:firstLineChars="100"/>
    </w:pPr>
  </w:style>
  <w:style w:type="paragraph" w:styleId="6">
    <w:name w:val="Body Text First Indent 2"/>
    <w:basedOn w:val="3"/>
    <w:next w:val="2"/>
    <w:qFormat/>
    <w:uiPriority w:val="0"/>
    <w:pPr>
      <w:spacing w:line="360" w:lineRule="auto"/>
      <w:ind w:left="0" w:leftChars="0"/>
    </w:pPr>
    <w:rPr>
      <w:rFonts w:cs="宋体"/>
    </w:rPr>
  </w:style>
  <w:style w:type="paragraph" w:customStyle="1" w:styleId="9">
    <w:name w:val="样式 首行缩进:  2 字符"/>
    <w:basedOn w:val="1"/>
    <w:qFormat/>
    <w:uiPriority w:val="0"/>
    <w:pPr>
      <w:spacing w:line="400" w:lineRule="exact"/>
      <w:ind w:firstLine="200" w:firstLineChars="200"/>
    </w:pPr>
    <w:rPr>
      <w:rFonts w:cs="宋体"/>
      <w:sz w:val="24"/>
    </w:rPr>
  </w:style>
  <w:style w:type="paragraph" w:styleId="10">
    <w:name w:val="List Paragraph"/>
    <w:basedOn w:val="1"/>
    <w:next w:val="1"/>
    <w:qFormat/>
    <w:uiPriority w:val="34"/>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1631</Words>
  <Characters>1640</Characters>
  <Lines>0</Lines>
  <Paragraphs>0</Paragraphs>
  <TotalTime>1</TotalTime>
  <ScaleCrop>false</ScaleCrop>
  <LinksUpToDate>false</LinksUpToDate>
  <CharactersWithSpaces>1697</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2026-07-22T02:15:00Z</dcterms:created>
  <dc:creator>-☞笨笨</dc:creator>
  <cp:lastModifiedBy>-☞笨笨</cp:lastModifiedBy>
  <dcterms:modified xsi:type="dcterms:W3CDTF">2026-07-22T04:40:21Z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320986172C404258B2EAF8D633863056_11</vt:lpwstr>
  </property>
  <property fmtid="{D5CDD505-2E9C-101B-9397-08002B2CF9AE}" pid="4" name="KSOTemplateDocerSaveRecord">
    <vt:lpwstr>eyJoZGlkIjoiMWZmZDYyYzU4NjlmYmRlYmQ0NWI4OTM4MjdjYjc3MjIiLCJ1c2VySWQiOiI1NTMwMTc4NDcifQ==</vt:lpwstr>
  </property>
</Properties>
</file>