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版本号：ZHDX012-26SW20260722001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陕西干部网络学院建设与维护服务计划</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ZHDX012-26SW</w:t>
      </w:r>
      <w:r>
        <w:br/>
      </w:r>
      <w:r>
        <w:br/>
      </w:r>
      <w:r>
        <w:br/>
      </w:r>
    </w:p>
    <w:p>
      <w:pPr>
        <w:pStyle w:val="null3"/>
        <w:jc w:val="center"/>
        <w:outlineLvl w:val="5"/>
      </w:pPr>
      <w:r>
        <w:rPr>
          <w:rFonts w:ascii="仿宋_GB2312" w:hAnsi="仿宋_GB2312" w:cs="仿宋_GB2312" w:eastAsia="仿宋_GB2312"/>
          <w:sz w:val="15"/>
          <w:b/>
        </w:rPr>
        <w:t>省委组织部机关</w:t>
      </w:r>
    </w:p>
    <w:p>
      <w:pPr>
        <w:pStyle w:val="null3"/>
        <w:jc w:val="center"/>
        <w:outlineLvl w:val="5"/>
      </w:pPr>
      <w:r>
        <w:rPr>
          <w:rFonts w:ascii="仿宋_GB2312" w:hAnsi="仿宋_GB2312" w:cs="仿宋_GB2312" w:eastAsia="仿宋_GB2312"/>
          <w:sz w:val="15"/>
          <w:b/>
        </w:rPr>
        <w:t>中寰鼎信（陕西）项目管理有限公司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中寰鼎信（陕西）项目管理有限公司</w:t>
      </w:r>
      <w:r>
        <w:rPr>
          <w:rFonts w:ascii="仿宋_GB2312" w:hAnsi="仿宋_GB2312" w:cs="仿宋_GB2312" w:eastAsia="仿宋_GB2312"/>
        </w:rPr>
        <w:t>（以下简称“代理机构”）受</w:t>
      </w:r>
      <w:r>
        <w:rPr>
          <w:rFonts w:ascii="仿宋_GB2312" w:hAnsi="仿宋_GB2312" w:cs="仿宋_GB2312" w:eastAsia="仿宋_GB2312"/>
        </w:rPr>
        <w:t>省委组织部机关</w:t>
      </w:r>
      <w:r>
        <w:rPr>
          <w:rFonts w:ascii="仿宋_GB2312" w:hAnsi="仿宋_GB2312" w:cs="仿宋_GB2312" w:eastAsia="仿宋_GB2312"/>
        </w:rPr>
        <w:t>委托，拟对</w:t>
      </w:r>
      <w:r>
        <w:rPr>
          <w:rFonts w:ascii="仿宋_GB2312" w:hAnsi="仿宋_GB2312" w:cs="仿宋_GB2312" w:eastAsia="仿宋_GB2312"/>
        </w:rPr>
        <w:t>陕西干部网络学院建设与维护服务计划</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ZHDX012-26SW</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陕西干部网络学院建设与维护服务计划</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陕西干部网络学院建设与维护服务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采购包1（陕西干部网络学院建设与维护服务计划）：属于专门面向中小企业采购。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1、有效的主体资格证明：供应商合法注册的法人或其他组织的营业执照等证明文件或自然人的身份证明。</w:t>
      </w:r>
    </w:p>
    <w:p>
      <w:pPr>
        <w:pStyle w:val="null3"/>
      </w:pPr>
      <w:r>
        <w:rPr>
          <w:rFonts w:ascii="仿宋_GB2312" w:hAnsi="仿宋_GB2312" w:cs="仿宋_GB2312" w:eastAsia="仿宋_GB2312"/>
        </w:rPr>
        <w:t>2、财务状况报告：提供经会计师事务所审计的2024年度或2025年度的财务审计报告或在谈判截止时间前三个月内其基本开户银行出具的资信证明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w:t>
      </w:r>
    </w:p>
    <w:p>
      <w:pPr>
        <w:pStyle w:val="null3"/>
      </w:pPr>
      <w:r>
        <w:rPr>
          <w:rFonts w:ascii="仿宋_GB2312" w:hAnsi="仿宋_GB2312" w:cs="仿宋_GB2312" w:eastAsia="仿宋_GB2312"/>
        </w:rPr>
        <w:t>3、社会保障资金缴纳证明：提供2025年7月1日至今任意一个月的社会保障资金缴存单据或社保机构开具的社会保险参保缴费情况证明；依法不需要缴纳社会保障资金的应提供相关文件证明。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4、税收缴纳证明：提供2025年7月1日至今任意一个月的完税凭证或税务机关开具的完税证明（任意税种）；依法免税的应提供相关文件证明。</w:t>
      </w:r>
    </w:p>
    <w:p>
      <w:pPr>
        <w:pStyle w:val="null3"/>
      </w:pPr>
      <w:r>
        <w:rPr>
          <w:rFonts w:ascii="仿宋_GB2312" w:hAnsi="仿宋_GB2312" w:cs="仿宋_GB2312" w:eastAsia="仿宋_GB2312"/>
        </w:rPr>
        <w:t>5、承诺书：提供具有履行合同所必需的设备和专业技术能力的承诺函。</w:t>
      </w:r>
    </w:p>
    <w:p>
      <w:pPr>
        <w:pStyle w:val="null3"/>
      </w:pPr>
      <w:r>
        <w:rPr>
          <w:rFonts w:ascii="仿宋_GB2312" w:hAnsi="仿宋_GB2312" w:cs="仿宋_GB2312" w:eastAsia="仿宋_GB2312"/>
        </w:rPr>
        <w:t>6、无重大违法声明：提供参加政府采购活动前3年内，在经营活动中没有重大违法记录的书面声明。</w:t>
      </w:r>
    </w:p>
    <w:p>
      <w:pPr>
        <w:pStyle w:val="null3"/>
      </w:pPr>
      <w:r>
        <w:rPr>
          <w:rFonts w:ascii="仿宋_GB2312" w:hAnsi="仿宋_GB2312" w:cs="仿宋_GB2312" w:eastAsia="仿宋_GB2312"/>
        </w:rPr>
        <w:t>7、法定代表人授权委托书：法定代表人直接参加谈判的，须出具法人身份证，并与营业执照上信息一致。法定代表人授权代表参加谈判的，须出具法定代表人授权书及授权代表身份证、授权代表本单位证明（谈判前三个月内任意一个月在本单位的社会保险缴纳证明）。</w:t>
      </w:r>
    </w:p>
    <w:p>
      <w:pPr>
        <w:pStyle w:val="null3"/>
      </w:pPr>
      <w:r>
        <w:rPr>
          <w:rFonts w:ascii="仿宋_GB2312" w:hAnsi="仿宋_GB2312" w:cs="仿宋_GB2312" w:eastAsia="仿宋_GB2312"/>
        </w:rPr>
        <w:t>8、信用查询：供应商在谈判截止时间前不得列入信用中国严重失信主体名单、重大税收违法失信主体名单；不得列入中国执行信息公开网失信被执行人名单；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9、中小企业声明函：本项目为专门面向中小企业采购项目须根据《政府采购促进中小企业发展管理办法》（财库﹝2020﹞46号）的规定提供《中小企业声明函》。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10、非联合体谈判：本项目不接受联合体谈判。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省委组织部机关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029-63905567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中寰鼎信（陕西）项目管理有限公司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陕西省西安市雁塔区小寨东路百隆广场B座1806室HMFHQ297号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姜飔垚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18802935532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开户名称：中寰鼎信（陕西）项目管理有限公司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银行账号：15041489880055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代理服务费收费标准：1、服务费收取参考国家计委颁布的《招标代理服务收费管理暂行办法》（计价格[2002]1980号）和（发改办价格[2003]857号）文收费标准计取。 2、成交单位在领取成交通知书前，须向采购代理机构一次性支付采购代理服务费。 3、代理服务费缴存账户： 开户名称：中寰鼎信（陕西）项目管理有限公司 开户银行：平安银行西安分行营业部 账号：15041489880055 （备注：项目名称+代理服务费）。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省委组织部机关</w:t>
      </w:r>
      <w:r>
        <w:rPr>
          <w:rFonts w:ascii="仿宋_GB2312" w:hAnsi="仿宋_GB2312" w:cs="仿宋_GB2312" w:eastAsia="仿宋_GB2312"/>
        </w:rPr>
        <w:t>和</w:t>
      </w:r>
      <w:r>
        <w:rPr>
          <w:rFonts w:ascii="仿宋_GB2312" w:hAnsi="仿宋_GB2312" w:cs="仿宋_GB2312" w:eastAsia="仿宋_GB2312"/>
        </w:rPr>
        <w:t>中寰鼎信（陕西）项目管理有限公司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中寰鼎信（陕西）项目管理有限公司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省委组织部机关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中寰鼎信（陕西）项目管理有限公司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联系人：姜飔垚</w:t>
      </w:r>
    </w:p>
    <w:p>
      <w:pPr>
        <w:pStyle w:val="null3"/>
      </w:pPr>
      <w:r>
        <w:rPr>
          <w:rFonts w:ascii="仿宋_GB2312" w:hAnsi="仿宋_GB2312" w:cs="仿宋_GB2312" w:eastAsia="仿宋_GB2312"/>
        </w:rPr>
        <w:t>联系电话：18802935532</w:t>
      </w:r>
    </w:p>
    <w:p>
      <w:pPr>
        <w:pStyle w:val="null3"/>
      </w:pPr>
      <w:r>
        <w:rPr>
          <w:rFonts w:ascii="仿宋_GB2312" w:hAnsi="仿宋_GB2312" w:cs="仿宋_GB2312" w:eastAsia="仿宋_GB2312"/>
        </w:rPr>
        <w:t>地址：陕西省西安市雁塔区小寨东路百隆广场B座1806室HMFHQ297号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b/>
        </w:rPr>
        <w:t>陕西干部网络学院建设与维护服务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其他信息技术服务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155"/>
              <w:gridCol w:w="2187"/>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参数性质</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技术参数与性能指标</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项目概况：</w:t>
                  </w:r>
                </w:p>
                <w:p>
                  <w:pPr>
                    <w:pStyle w:val="null3"/>
                    <w:jc w:val="both"/>
                  </w:pPr>
                  <w:r>
                    <w:rPr>
                      <w:rFonts w:ascii="仿宋_GB2312" w:hAnsi="仿宋_GB2312" w:cs="仿宋_GB2312" w:eastAsia="仿宋_GB2312"/>
                      <w:sz w:val="18"/>
                    </w:rPr>
                    <w:t>陕西干部网络学院由陕西省委组织部主办，西安开放大学承办，面向全省干部开展干部网络培训工作。陕西干部网络学院负责运维陕西干部网络学院学习平台、陕西干部教育培训管理系统与陕西干部教育培训网三个网站。陕西干部教育培训网作为全省干部教育培训门户，突出新闻发布、资源共享和学习交流三大功能；陕西干部教育培训管理系统是管理全省各类培训班次和各级干部培训电子档案的信息平台；陕西干部网络学院学习平台形成了以省级学习平台为主体、十个市级学习平台为支撑的平台体系。三个网站的服务器均部署在华为云，由华为云陕西唯一指定商陕西一览科技有限公司负责，为单一来源，需保证全省干部网络学习的连贯性与不间断性。</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服务清单：</w:t>
                  </w:r>
                </w:p>
                <w:tbl>
                  <w:tblPr>
                    <w:tblBorders>
                      <w:top w:val="none" w:color="000000" w:sz="4"/>
                      <w:left w:val="none" w:color="000000" w:sz="4"/>
                      <w:bottom w:val="none" w:color="000000" w:sz="4"/>
                      <w:right w:val="none" w:color="000000" w:sz="4"/>
                      <w:insideH w:val="none"/>
                      <w:insideV w:val="none"/>
                    </w:tblBorders>
                  </w:tblPr>
                  <w:tblGrid>
                    <w:gridCol w:w="460"/>
                    <w:gridCol w:w="897"/>
                    <w:gridCol w:w="213"/>
                    <w:gridCol w:w="186"/>
                  </w:tblGrid>
                  <w:tr>
                    <w:tc>
                      <w:tcPr>
                        <w:tcW w:type="dxa" w:w="46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产品类型</w:t>
                        </w:r>
                      </w:p>
                    </w:tc>
                    <w:tc>
                      <w:tcPr>
                        <w:tcW w:type="dxa" w:w="89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p>
                    </w:tc>
                    <w:tc>
                      <w:tcPr>
                        <w:tcW w:type="dxa" w:w="21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86"/>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企业主机安全 HSS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企业版</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静态BGP|固定带宽|2Mbps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云数据库 RDS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replica-d423 只读实例 通用增强II型 4xlarge.4 16vCPUs 64GB</w:t>
                        </w:r>
                        <w:r>
                          <w:br/>
                        </w:r>
                        <w:r>
                          <w:rPr>
                            <w:rFonts w:ascii="仿宋_GB2312" w:hAnsi="仿宋_GB2312" w:cs="仿宋_GB2312" w:eastAsia="仿宋_GB2312"/>
                            <w:sz w:val="18"/>
                            <w:color w:val="000000"/>
                          </w:rPr>
                          <w:t>存储 超高IO 1150GB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云数据库 RDS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rds-6f33 主备版 云盘独享型 16vCPUs 64GB</w:t>
                        </w:r>
                        <w:r>
                          <w:br/>
                        </w:r>
                        <w:r>
                          <w:rPr>
                            <w:rFonts w:ascii="仿宋_GB2312" w:hAnsi="仿宋_GB2312" w:cs="仿宋_GB2312" w:eastAsia="仿宋_GB2312"/>
                            <w:sz w:val="18"/>
                            <w:color w:val="000000"/>
                          </w:rPr>
                          <w:t>存储 超高IO 1150GB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云数据库 RDS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replica-d423 只读实例 通用增强II型 4xlarge.4 16vCPUs 64GB</w:t>
                        </w:r>
                        <w:r>
                          <w:br/>
                        </w:r>
                        <w:r>
                          <w:rPr>
                            <w:rFonts w:ascii="仿宋_GB2312" w:hAnsi="仿宋_GB2312" w:cs="仿宋_GB2312" w:eastAsia="仿宋_GB2312"/>
                            <w:sz w:val="18"/>
                            <w:color w:val="000000"/>
                          </w:rPr>
                          <w:t>存储 超高IO 1150GB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对象存储服务 OBS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标准存储3AZ存储资源包 2TB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对象存储服务 OBS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公网流出流量包|1TB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分布式缓存服务 DCS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分布式缓存Proxy集群16GB(X86版)实例</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云速邮箱-旗舰版</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云速邮箱旗舰版|5.0个(次)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对象存储服务 OBS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OBS CDN回源流量|5TB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通用计算增强型|c6.2xlarge.4|8vCPUs|32GB</w:t>
                        </w:r>
                        <w:r>
                          <w:br/>
                        </w:r>
                        <w:r>
                          <w:rPr>
                            <w:rFonts w:ascii="仿宋_GB2312" w:hAnsi="仿宋_GB2312" w:cs="仿宋_GB2312" w:eastAsia="仿宋_GB2312"/>
                            <w:sz w:val="18"/>
                            <w:color w:val="000000"/>
                          </w:rPr>
                          <w:t>系统盘 高IO|100.0GB 数据盘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静态BGP|固定带宽|200.0Mbps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内存优化型|m6.4xlarge.8|16vCPUs|128GB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动态BGP|固定带宽|10.0Mbps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通用计算增强型|c6.xlarge.4|4vCPUs|16GB</w:t>
                        </w:r>
                        <w:r>
                          <w:br/>
                        </w:r>
                        <w:r>
                          <w:rPr>
                            <w:rFonts w:ascii="仿宋_GB2312" w:hAnsi="仿宋_GB2312" w:cs="仿宋_GB2312" w:eastAsia="仿宋_GB2312"/>
                            <w:sz w:val="18"/>
                            <w:color w:val="000000"/>
                          </w:rPr>
                          <w:t>系统盘高IO|150.0GB 数据盘 高IO|1500.0GB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通用计算增强型|c6.8xlarge.2|32vCPUs|64GB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静态BGP|固定带宽|10.0Mbps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鲲鹏通用计算增强型|kc1.2xlarge.4|8vCPUs|32GB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动态BGP|固定带宽|1.0Mbps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通用计算增强型|c6.2xlarge.4|8vCPUs|32GB</w:t>
                        </w:r>
                        <w:r>
                          <w:br/>
                        </w:r>
                        <w:r>
                          <w:rPr>
                            <w:rFonts w:ascii="仿宋_GB2312" w:hAnsi="仿宋_GB2312" w:cs="仿宋_GB2312" w:eastAsia="仿宋_GB2312"/>
                            <w:sz w:val="18"/>
                            <w:color w:val="000000"/>
                          </w:rPr>
                          <w:t>系统盘 高IO|100.0GB 数据盘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静态BGP|固定带宽|100.0Mbps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内存优化型|m6.xlarge.8|4vCPUs|32GB</w:t>
                        </w:r>
                        <w:r>
                          <w:br/>
                        </w:r>
                        <w:r>
                          <w:rPr>
                            <w:rFonts w:ascii="仿宋_GB2312" w:hAnsi="仿宋_GB2312" w:cs="仿宋_GB2312" w:eastAsia="仿宋_GB2312"/>
                            <w:sz w:val="18"/>
                            <w:color w:val="000000"/>
                          </w:rPr>
                          <w:t>系统盘 高IO|150.0GB 数据盘 高IO|1000.0GB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高IO|40.0GB 数据盘 高IO|500.0GB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动态BGP|固定带宽|10.0Mbps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静态BGP|固定带宽|5.0Mbps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鲲鹏通用计算增强型|kc1.2xlarge.4|8vCPUs|32GB</w:t>
                        </w:r>
                        <w:r>
                          <w:br/>
                        </w:r>
                        <w:r>
                          <w:rPr>
                            <w:rFonts w:ascii="仿宋_GB2312" w:hAnsi="仿宋_GB2312" w:cs="仿宋_GB2312" w:eastAsia="仿宋_GB2312"/>
                            <w:sz w:val="18"/>
                            <w:color w:val="000000"/>
                          </w:rPr>
                          <w:t>系统盘 高IO|150.0GB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弹性云服务器 ECS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通用计算增强型|c6.4xlarge.4|16vCPUs|64GB</w:t>
                        </w:r>
                        <w:r>
                          <w:br/>
                        </w:r>
                        <w:r>
                          <w:rPr>
                            <w:rFonts w:ascii="仿宋_GB2312" w:hAnsi="仿宋_GB2312" w:cs="仿宋_GB2312" w:eastAsia="仿宋_GB2312"/>
                            <w:sz w:val="18"/>
                            <w:color w:val="000000"/>
                          </w:rPr>
                          <w:t>系统盘 高IO|40.0GB 数据盘 高IO|500.0GB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虚拟私有云 VPC</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动态BGP|固定带宽|10.0Mbps</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云堡垒机 CBH</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100资产专业版</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Web应用防火墙 WAF</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基础套餐|标准版</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对象存储服务 OBS</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OBS CDN回源流量|5TB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CDN</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14PB</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短信</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400万条</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bl>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商务要求：</w:t>
                  </w:r>
                </w:p>
                <w:p>
                  <w:pPr>
                    <w:pStyle w:val="null3"/>
                    <w:jc w:val="both"/>
                  </w:pPr>
                  <w:r>
                    <w:rPr>
                      <w:rFonts w:ascii="仿宋_GB2312" w:hAnsi="仿宋_GB2312" w:cs="仿宋_GB2312" w:eastAsia="仿宋_GB2312"/>
                      <w:sz w:val="18"/>
                    </w:rPr>
                    <w:t>（一）服务期：一年。</w:t>
                  </w:r>
                </w:p>
                <w:p>
                  <w:pPr>
                    <w:pStyle w:val="null3"/>
                    <w:jc w:val="both"/>
                  </w:pPr>
                  <w:r>
                    <w:rPr>
                      <w:rFonts w:ascii="仿宋_GB2312" w:hAnsi="仿宋_GB2312" w:cs="仿宋_GB2312" w:eastAsia="仿宋_GB2312"/>
                      <w:sz w:val="18"/>
                    </w:rPr>
                    <w:t>（二）服务地点：采购人指定地点。</w:t>
                  </w:r>
                </w:p>
                <w:p>
                  <w:pPr>
                    <w:pStyle w:val="null3"/>
                    <w:jc w:val="both"/>
                  </w:pPr>
                  <w:r>
                    <w:rPr>
                      <w:rFonts w:ascii="仿宋_GB2312" w:hAnsi="仿宋_GB2312" w:cs="仿宋_GB2312" w:eastAsia="仿宋_GB2312"/>
                      <w:sz w:val="18"/>
                    </w:rPr>
                    <w:t>（三）质量标准：满足国家及行业现行有关服务标准、规范的要求。</w:t>
                  </w:r>
                </w:p>
                <w:p>
                  <w:pPr>
                    <w:pStyle w:val="null3"/>
                    <w:jc w:val="both"/>
                  </w:pPr>
                  <w:r>
                    <w:rPr>
                      <w:rFonts w:ascii="仿宋_GB2312" w:hAnsi="仿宋_GB2312" w:cs="仿宋_GB2312" w:eastAsia="仿宋_GB2312"/>
                      <w:sz w:val="18"/>
                    </w:rPr>
                    <w:t>（四）付款条件及结算：进度款，合同签订后，达到使用要求，达到付款条件起30个工作日内，支付合同总金额的100.0%。</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进度款，合同签订后，达到使用要求，达到付款条件起30个工作日内，支付合同总金额的100.0%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因本项目引起的有关争议，甲、乙双方应首先通过友好协商解决;如果协商不能解决争议，甲乙双方同意采取向西安市仲裁委员会按其仲裁规则申请仲裁。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成交供应商在领取成交通知书前，需向采购代理机构提交纸质版响应文件二份，纸质版文件须为电子响应文件的打印版。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中小企业声明函 报价表 商务应答表.docx 供应商认为有必要提供的其他资料.docx 响应文件封面 残疾人福利性单位声明函 标的清单 服务内容及服务要求应答表.docx 响应报价明细表.docx 响应函 服务方案.docx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年度或2025年度的财务审计报告或在谈判截止时间前三个月内其基本开户银行出具的资信证明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提供2025年7月1日至今任意一个月的社会保障资金缴存单据或社保机构开具的社会保险参保缴费情况证明；依法不需要缴纳社会保障资金的应提供相关文件证明。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提供2025年7月1日至今任意一个月的完税凭证或税务机关开具的完税证明（任意税种）；依法免税的应提供相关文件证明。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及授权代表身份证、授权代表本单位证明（谈判前三个月内任意一个月在本单位的社会保险缴纳证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谈判截止时间前不得列入信用中国严重失信主体名单、重大税收违法失信主体名单；不得列入中国执行信息公开网失信被执行人名单；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中小企业声明函 响应函 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响应报价明细表.docx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响应文件的签字、盖章等是否符合采购文件要求</w:t>
            </w:r>
          </w:p>
        </w:tc>
        <w:tc>
          <w:tcPr>
            <w:tcW w:type="dxa" w:w="1661"/>
          </w:tcPr>
          <w:p>
            <w:pPr>
              <w:pStyle w:val="null3"/>
            </w:pPr>
            <w:r>
              <w:rPr>
                <w:rFonts w:ascii="仿宋_GB2312" w:hAnsi="仿宋_GB2312" w:cs="仿宋_GB2312" w:eastAsia="仿宋_GB2312"/>
              </w:rPr>
              <w:t>中小企业声明函 报价表 商务应答表.docx 供应商认为有必要提供的其他资料.docx 响应文件封面 残疾人福利性单位声明函 标的清单 服务内容及服务要求应答表.docx 响应报价明细表.docx 响应函 服务方案.docx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详见附件：响应报价明细表.docx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