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版本号：DX2026-17520260724001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两院区数据主链路专线租赁服务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DX2026-175</w:t>
      </w:r>
      <w:r>
        <w:br/>
      </w:r>
      <w:r>
        <w:br/>
      </w:r>
      <w:r>
        <w:br/>
      </w:r>
    </w:p>
    <w:p>
      <w:pPr>
        <w:pStyle w:val="null3"/>
        <w:jc w:val="center"/>
        <w:outlineLvl w:val="5"/>
      </w:pPr>
      <w:r>
        <w:rPr>
          <w:rFonts w:ascii="仿宋_GB2312" w:hAnsi="仿宋_GB2312" w:cs="仿宋_GB2312" w:eastAsia="仿宋_GB2312"/>
          <w:sz w:val="15"/>
          <w:b/>
        </w:rPr>
        <w:t>西安市第一医院</w:t>
      </w:r>
    </w:p>
    <w:p>
      <w:pPr>
        <w:pStyle w:val="null3"/>
        <w:jc w:val="center"/>
        <w:outlineLvl w:val="5"/>
      </w:pPr>
      <w:r>
        <w:rPr>
          <w:rFonts w:ascii="仿宋_GB2312" w:hAnsi="仿宋_GB2312" w:cs="仿宋_GB2312" w:eastAsia="仿宋_GB2312"/>
          <w:sz w:val="15"/>
          <w:b/>
        </w:rPr>
        <w:t>陕西笃信招标有限公司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西安市第一医院</w:t>
      </w:r>
      <w:r>
        <w:rPr>
          <w:rFonts w:ascii="仿宋_GB2312" w:hAnsi="仿宋_GB2312" w:cs="仿宋_GB2312" w:eastAsia="仿宋_GB2312"/>
        </w:rPr>
        <w:t>委托，拟对</w:t>
      </w:r>
      <w:r>
        <w:rPr>
          <w:rFonts w:ascii="仿宋_GB2312" w:hAnsi="仿宋_GB2312" w:cs="仿宋_GB2312" w:eastAsia="仿宋_GB2312"/>
        </w:rPr>
        <w:t>两院区数据主链路专线租赁服务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DX2026-175</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两院区数据主链路专线租赁服务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两院区数据主链路专线租赁服务，具体详见单一来源文件。</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1、政府采购法第二十二条规定：1.提供统一社会信用代码的营业执照或其他组织经营的合法凭证或自然人的提供身份证明文件。 2.提供具有财务审计资质单位出具的2025年度完整的财务审计报告；或投标前六个月内其基本账户银行出具的资信证明（附《基本存款账户信息》或《银行开户许可证》复印件）；或财政部门认可的政府采购专业担保机构出具的担保函，以上形式的证明资料提供任何一种即可。 3.提供已缴存的2025年6月1日以来至少三个月的社会保障资金缴存单据或社保机构开具的社会保险参保缴费情况证明。成立时间至提交响应文件截止时间不足一个月或依法不需要缴纳社会保障资金的供应商应提供相关文件证明。 4.提供已缴纳的 2025年6月1日以来至少三个月的纳税证明或完税证明，纳税证明或完税证明上应有代收机构或税务机关的公章或业务专用章。依法免税的供应商应提供相关文件证明。 5.（1）出具履行合同所必需的设备和专业技术能力的书面声明；（2）出具参加本次政府采购活动的书面声明。</w:t>
      </w:r>
    </w:p>
    <w:p>
      <w:pPr>
        <w:pStyle w:val="null3"/>
      </w:pPr>
      <w:r>
        <w:rPr>
          <w:rFonts w:ascii="仿宋_GB2312" w:hAnsi="仿宋_GB2312" w:cs="仿宋_GB2312" w:eastAsia="仿宋_GB2312"/>
        </w:rPr>
        <w:t>2、法定代表人授权委托书：法定代表人参加投标的，须提供法定代表人身份证明；法定代表人授权他人参加投标的，须提供法定代表人授权委托书，被授权代表本单位证明：开标截止前连续近三个月（不含开标当月）投标供应商为其缴纳的养老保险缴纳证明。（法定代表人参加只需提供法定代表人身份证明）</w:t>
      </w:r>
    </w:p>
    <w:p>
      <w:pPr>
        <w:pStyle w:val="null3"/>
      </w:pPr>
      <w:r>
        <w:rPr>
          <w:rFonts w:ascii="仿宋_GB2312" w:hAnsi="仿宋_GB2312" w:cs="仿宋_GB2312" w:eastAsia="仿宋_GB2312"/>
        </w:rPr>
        <w:t>3、信用记录：经查，供应商未被列入“信用中国”网站记录的“失信被执行人”或“重大税收违法案件当事人”名单；不处于“中国政府采购网”记录的“政府采购严重违法失信行为记录名单”中的禁止参加政府采购活动期间。</w:t>
      </w:r>
    </w:p>
    <w:p>
      <w:pPr>
        <w:pStyle w:val="null3"/>
      </w:pPr>
      <w:r>
        <w:rPr>
          <w:rFonts w:ascii="仿宋_GB2312" w:hAnsi="仿宋_GB2312" w:cs="仿宋_GB2312" w:eastAsia="仿宋_GB2312"/>
        </w:rPr>
        <w:t>4、供应商承诺书：1.供应商与其他投标单位无交叉控股股东、无交叉兼任高级管理人员及涉嫌联合围标、串标行为，无采购单位和采购代理机构职工在该单位兼职的情况，不向采购单位和代理机构相关人员输送利益等行贿行为（提供承诺书）。 2.本项目不接受西安市第一医院职工及其亲属投资开办的企业参与本医院的政府采购活动（提供承诺书）。</w:t>
      </w:r>
    </w:p>
    <w:p>
      <w:pPr>
        <w:pStyle w:val="null3"/>
      </w:pPr>
      <w:r>
        <w:rPr>
          <w:rFonts w:ascii="仿宋_GB2312" w:hAnsi="仿宋_GB2312" w:cs="仿宋_GB2312" w:eastAsia="仿宋_GB2312"/>
        </w:rPr>
        <w:t>5、经营许可证：供应商需具有《增值电信业务经营许可证》及《基础电信业务经营许可证》。</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南大街粉巷30号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029-87630967</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西安市经济技术开发区凤城十一路与文景路十字西北角文景商务广场B座8层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张亚娜、刘艳娇、聂肖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采购包1：340,000.00元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采购包1：340,000.00元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国家发展改革委办公厅关于招标代理服务收费有关问题的通知》（发改价格[2003]857号）、《国家发展改革委关于进一步放开建设项目专业服务价格的通知》下浮20%收取。本项目招标代理服务费由中标人在中标结果公示期满后三个工作日内按照标准支付给招标代理机构。（代理报酬的币种：人民币，汇率：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西安市第一医院</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完成后，由供应商与采购人约定时间，根据合同要求评估服务质量。（2）服务完成后，系统稳定运行，由供应商书面申请正式验收。（3）供应商按照采购人验收管理制度和流程准备好验收资料后，按约定时间进行系统运行（正式）验收。验收合格后，验收人员在《医院信息系统验收单》上签字，作为对系统的最终认可。</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联系人：张亚娜、刘艳娇、聂肖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两院区数据主链路专线租赁服务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340,000.00</w:t>
      </w:r>
    </w:p>
    <w:p>
      <w:pPr>
        <w:pStyle w:val="null3"/>
      </w:pPr>
      <w:r>
        <w:rPr>
          <w:rFonts w:ascii="仿宋_GB2312" w:hAnsi="仿宋_GB2312" w:cs="仿宋_GB2312" w:eastAsia="仿宋_GB2312"/>
        </w:rPr>
        <w:t>采购包最高限价（元）: 340,000.00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两院区数据主链路专线租赁服务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标的名称：两院区数据主链路专线租赁服务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一、采购内容：</w:t>
            </w:r>
          </w:p>
          <w:p>
            <w:pPr>
              <w:pStyle w:val="null3"/>
              <w:jc w:val="both"/>
            </w:pPr>
            <w:r>
              <w:rPr>
                <w:rFonts w:ascii="仿宋_GB2312" w:hAnsi="仿宋_GB2312" w:cs="仿宋_GB2312" w:eastAsia="仿宋_GB2312"/>
              </w:rPr>
              <w:t>本项目为</w:t>
            </w:r>
            <w:r>
              <w:rPr>
                <w:rFonts w:ascii="仿宋_GB2312" w:hAnsi="仿宋_GB2312" w:cs="仿宋_GB2312" w:eastAsia="仿宋_GB2312"/>
              </w:rPr>
              <w:t>200M（OTN）数据链路专线接入及租用服务，通过西安市第一医院老院区（碑林区粉巷30号）与西安市第一医院新院区（高新区公共卫生中心）数据接入，满足新老院区平台数据传输需求。</w:t>
            </w:r>
          </w:p>
          <w:p>
            <w:pPr>
              <w:pStyle w:val="null3"/>
              <w:jc w:val="both"/>
            </w:pPr>
            <w:r>
              <w:rPr>
                <w:rFonts w:ascii="仿宋_GB2312" w:hAnsi="仿宋_GB2312" w:cs="仿宋_GB2312" w:eastAsia="仿宋_GB2312"/>
              </w:rPr>
              <w:t>二、技术要求：</w:t>
            </w:r>
          </w:p>
          <w:p>
            <w:pPr>
              <w:pStyle w:val="null3"/>
              <w:jc w:val="both"/>
            </w:pPr>
            <w:r>
              <w:rPr>
                <w:rFonts w:ascii="仿宋_GB2312" w:hAnsi="仿宋_GB2312" w:cs="仿宋_GB2312" w:eastAsia="仿宋_GB2312"/>
              </w:rPr>
              <w:t>1、数据专线光衰</w:t>
            </w:r>
            <w:r>
              <w:rPr>
                <w:rFonts w:ascii="仿宋_GB2312" w:hAnsi="仿宋_GB2312" w:cs="仿宋_GB2312" w:eastAsia="仿宋_GB2312"/>
              </w:rPr>
              <w:t>介于</w:t>
            </w:r>
            <w:r>
              <w:rPr>
                <w:rFonts w:ascii="仿宋_GB2312" w:hAnsi="仿宋_GB2312" w:cs="仿宋_GB2312" w:eastAsia="仿宋_GB2312"/>
              </w:rPr>
              <w:t>±16db</w:t>
            </w:r>
            <w:r>
              <w:rPr>
                <w:rFonts w:ascii="仿宋_GB2312" w:hAnsi="仿宋_GB2312" w:cs="仿宋_GB2312" w:eastAsia="仿宋_GB2312"/>
              </w:rPr>
              <w:t>之间</w:t>
            </w:r>
            <w:r>
              <w:rPr>
                <w:rFonts w:ascii="仿宋_GB2312" w:hAnsi="仿宋_GB2312" w:cs="仿宋_GB2312" w:eastAsia="仿宋_GB2312"/>
              </w:rPr>
              <w:t>，数据专线网络延迟不大于</w:t>
            </w:r>
            <w:r>
              <w:rPr>
                <w:rFonts w:ascii="仿宋_GB2312" w:hAnsi="仿宋_GB2312" w:cs="仿宋_GB2312" w:eastAsia="仿宋_GB2312"/>
              </w:rPr>
              <w:t>3ms。数据专线满足2Mbps-100Gbps可弹性扩展接口，以便随时扩容。</w:t>
            </w:r>
          </w:p>
          <w:p>
            <w:pPr>
              <w:pStyle w:val="null3"/>
              <w:jc w:val="both"/>
            </w:pPr>
            <w:r>
              <w:rPr>
                <w:rFonts w:ascii="仿宋_GB2312" w:hAnsi="仿宋_GB2312" w:cs="仿宋_GB2312" w:eastAsia="仿宋_GB2312"/>
              </w:rPr>
              <w:t>2、支持现有的所有物理接口标准及标准协议，支持ODUK、VC、OSU硬隔离能力。</w:t>
            </w:r>
          </w:p>
          <w:p>
            <w:pPr>
              <w:pStyle w:val="null3"/>
              <w:jc w:val="both"/>
            </w:pPr>
            <w:r>
              <w:rPr>
                <w:rFonts w:ascii="仿宋_GB2312" w:hAnsi="仿宋_GB2312" w:cs="仿宋_GB2312" w:eastAsia="仿宋_GB2312"/>
              </w:rPr>
              <w:t>3、保护倒换时间小于50ms</w:t>
            </w:r>
            <w:r>
              <w:rPr>
                <w:rFonts w:ascii="仿宋_GB2312" w:hAnsi="仿宋_GB2312" w:cs="仿宋_GB2312" w:eastAsia="仿宋_GB2312"/>
              </w:rPr>
              <w:t>，线路支持平滑调速。</w:t>
            </w:r>
          </w:p>
          <w:p>
            <w:pPr>
              <w:pStyle w:val="null3"/>
              <w:jc w:val="both"/>
            </w:pPr>
            <w:r>
              <w:rPr>
                <w:rFonts w:ascii="仿宋_GB2312" w:hAnsi="仿宋_GB2312" w:cs="仿宋_GB2312" w:eastAsia="仿宋_GB2312"/>
              </w:rPr>
              <w:t>4、提供不小于200M的备用链路,双向环形路由保护，所有物理链路采用不同的物理通道（与主干来自不同线路管道），光路敷设双路由进院区。</w:t>
            </w:r>
          </w:p>
          <w:p>
            <w:pPr>
              <w:pStyle w:val="null3"/>
              <w:jc w:val="both"/>
            </w:pPr>
            <w:r>
              <w:rPr>
                <w:rFonts w:ascii="仿宋_GB2312" w:hAnsi="仿宋_GB2312" w:cs="仿宋_GB2312" w:eastAsia="仿宋_GB2312"/>
              </w:rPr>
              <w:t>5、提供交叉容量和接入容量为满足业务需求的核心传输设备(主流OTN设备)。</w:t>
            </w:r>
          </w:p>
          <w:p>
            <w:pPr>
              <w:pStyle w:val="null3"/>
              <w:jc w:val="both"/>
            </w:pPr>
            <w:r>
              <w:rPr>
                <w:rFonts w:ascii="仿宋_GB2312" w:hAnsi="仿宋_GB2312" w:cs="仿宋_GB2312" w:eastAsia="仿宋_GB2312"/>
              </w:rPr>
              <w:t>6、在老院区中心机房内提供7*24H</w:t>
            </w:r>
            <w:r>
              <w:rPr>
                <w:rFonts w:ascii="仿宋_GB2312" w:hAnsi="仿宋_GB2312" w:cs="仿宋_GB2312" w:eastAsia="仿宋_GB2312"/>
              </w:rPr>
              <w:t>全天候监控平台，提供实时监测链路通断、带宽、时延、丢包等情况的工具，实现对业务网元统一管理和监控。</w:t>
            </w:r>
          </w:p>
          <w:p>
            <w:pPr>
              <w:pStyle w:val="null3"/>
              <w:jc w:val="both"/>
            </w:pPr>
            <w:r>
              <w:rPr>
                <w:rFonts w:ascii="仿宋_GB2312" w:hAnsi="仿宋_GB2312" w:cs="仿宋_GB2312" w:eastAsia="仿宋_GB2312"/>
              </w:rPr>
              <w:t>7、提供负载均衡服务，按季度进行网络巡检，检查网络系统的运行情况。</w:t>
            </w:r>
          </w:p>
          <w:p>
            <w:pPr>
              <w:pStyle w:val="null3"/>
              <w:jc w:val="both"/>
            </w:pPr>
            <w:r>
              <w:rPr>
                <w:rFonts w:ascii="仿宋_GB2312" w:hAnsi="仿宋_GB2312" w:cs="仿宋_GB2312" w:eastAsia="仿宋_GB2312"/>
              </w:rPr>
              <w:t>三、其他服务要求</w:t>
            </w:r>
          </w:p>
          <w:p>
            <w:pPr>
              <w:pStyle w:val="null3"/>
              <w:jc w:val="both"/>
            </w:pPr>
            <w:r>
              <w:rPr>
                <w:rFonts w:ascii="仿宋_GB2312" w:hAnsi="仿宋_GB2312" w:cs="仿宋_GB2312" w:eastAsia="仿宋_GB2312"/>
              </w:rPr>
              <w:t>（一）提供售后保障服务</w:t>
            </w:r>
            <w:r>
              <w:rPr>
                <w:rFonts w:ascii="仿宋_GB2312" w:hAnsi="仿宋_GB2312" w:cs="仿宋_GB2312" w:eastAsia="仿宋_GB2312"/>
              </w:rPr>
              <w:t>，具体要求如下：</w:t>
            </w:r>
          </w:p>
          <w:p>
            <w:pPr>
              <w:pStyle w:val="null3"/>
              <w:jc w:val="both"/>
            </w:pPr>
            <w:r>
              <w:rPr>
                <w:rFonts w:ascii="仿宋_GB2312" w:hAnsi="仿宋_GB2312" w:cs="仿宋_GB2312" w:eastAsia="仿宋_GB2312"/>
              </w:rPr>
              <w:t>1．为</w:t>
            </w:r>
            <w:r>
              <w:rPr>
                <w:rFonts w:ascii="仿宋_GB2312" w:hAnsi="仿宋_GB2312" w:cs="仿宋_GB2312" w:eastAsia="仿宋_GB2312"/>
              </w:rPr>
              <w:t>采购人</w:t>
            </w:r>
            <w:r>
              <w:rPr>
                <w:rFonts w:ascii="仿宋_GB2312" w:hAnsi="仿宋_GB2312" w:cs="仿宋_GB2312" w:eastAsia="仿宋_GB2312"/>
              </w:rPr>
              <w:t>提供总部所在地维护工程师专项服务。</w:t>
            </w:r>
          </w:p>
          <w:p>
            <w:pPr>
              <w:pStyle w:val="null3"/>
              <w:jc w:val="both"/>
            </w:pPr>
            <w:r>
              <w:rPr>
                <w:rFonts w:ascii="仿宋_GB2312" w:hAnsi="仿宋_GB2312" w:cs="仿宋_GB2312" w:eastAsia="仿宋_GB2312"/>
              </w:rPr>
              <w:t>2．能够保证新老两院区业务不中断</w:t>
            </w:r>
            <w:r>
              <w:rPr>
                <w:rFonts w:ascii="仿宋_GB2312" w:hAnsi="仿宋_GB2312" w:cs="仿宋_GB2312" w:eastAsia="仿宋_GB2312"/>
              </w:rPr>
              <w:t>，任意链路故障处理的恢复时间</w:t>
            </w:r>
            <w:r>
              <w:rPr>
                <w:rFonts w:ascii="仿宋_GB2312" w:hAnsi="仿宋_GB2312" w:cs="仿宋_GB2312" w:eastAsia="仿宋_GB2312"/>
              </w:rPr>
              <w:t>≤</w:t>
            </w:r>
            <w:r>
              <w:rPr>
                <w:rFonts w:ascii="仿宋_GB2312" w:hAnsi="仿宋_GB2312" w:cs="仿宋_GB2312" w:eastAsia="仿宋_GB2312"/>
              </w:rPr>
              <w:t>120</w:t>
            </w:r>
            <w:r>
              <w:rPr>
                <w:rFonts w:ascii="仿宋_GB2312" w:hAnsi="仿宋_GB2312" w:cs="仿宋_GB2312" w:eastAsia="仿宋_GB2312"/>
              </w:rPr>
              <w:t>min</w:t>
            </w:r>
            <w:r>
              <w:rPr>
                <w:rFonts w:ascii="仿宋_GB2312" w:hAnsi="仿宋_GB2312" w:cs="仿宋_GB2312" w:eastAsia="仿宋_GB2312"/>
              </w:rPr>
              <w:t>。</w:t>
            </w:r>
          </w:p>
          <w:p>
            <w:pPr>
              <w:pStyle w:val="null3"/>
              <w:jc w:val="both"/>
            </w:pPr>
            <w:r>
              <w:rPr>
                <w:rFonts w:ascii="仿宋_GB2312" w:hAnsi="仿宋_GB2312" w:cs="仿宋_GB2312" w:eastAsia="仿宋_GB2312"/>
              </w:rPr>
              <w:t>3．提供7*24H的</w:t>
            </w:r>
            <w:r>
              <w:rPr>
                <w:rFonts w:ascii="仿宋_GB2312" w:hAnsi="仿宋_GB2312" w:cs="仿宋_GB2312" w:eastAsia="仿宋_GB2312"/>
              </w:rPr>
              <w:t>响应</w:t>
            </w:r>
            <w:r>
              <w:rPr>
                <w:rFonts w:ascii="仿宋_GB2312" w:hAnsi="仿宋_GB2312" w:cs="仿宋_GB2312" w:eastAsia="仿宋_GB2312"/>
              </w:rPr>
              <w:t>服务，安排专职人员提供统一故障受理与升级处理机制。在业务开通、障碍处理过程中及时做好与</w:t>
            </w:r>
            <w:r>
              <w:rPr>
                <w:rFonts w:ascii="仿宋_GB2312" w:hAnsi="仿宋_GB2312" w:cs="仿宋_GB2312" w:eastAsia="仿宋_GB2312"/>
              </w:rPr>
              <w:t>采购人</w:t>
            </w:r>
            <w:r>
              <w:rPr>
                <w:rFonts w:ascii="仿宋_GB2312" w:hAnsi="仿宋_GB2312" w:cs="仿宋_GB2312" w:eastAsia="仿宋_GB2312"/>
              </w:rPr>
              <w:t>的沟通和反馈。</w:t>
            </w:r>
          </w:p>
          <w:p>
            <w:pPr>
              <w:pStyle w:val="null3"/>
              <w:jc w:val="both"/>
            </w:pPr>
            <w:r>
              <w:rPr>
                <w:rFonts w:ascii="仿宋_GB2312" w:hAnsi="仿宋_GB2312" w:cs="仿宋_GB2312" w:eastAsia="仿宋_GB2312"/>
              </w:rPr>
              <w:t>4．对于中断超过1小时的服务方原因故障，提供故障处理报告。</w:t>
            </w:r>
          </w:p>
          <w:p>
            <w:pPr>
              <w:pStyle w:val="null3"/>
              <w:jc w:val="both"/>
            </w:pPr>
            <w:r>
              <w:rPr>
                <w:rFonts w:ascii="仿宋_GB2312" w:hAnsi="仿宋_GB2312" w:cs="仿宋_GB2312" w:eastAsia="仿宋_GB2312"/>
              </w:rPr>
              <w:t>5．提供网络运行分析报告，分析网络运行情况，1次/半年。</w:t>
            </w:r>
          </w:p>
          <w:p>
            <w:pPr>
              <w:pStyle w:val="null3"/>
              <w:jc w:val="both"/>
            </w:pPr>
            <w:r>
              <w:rPr>
                <w:rFonts w:ascii="仿宋_GB2312" w:hAnsi="仿宋_GB2312" w:cs="仿宋_GB2312" w:eastAsia="仿宋_GB2312"/>
              </w:rPr>
              <w:t>6．提供网络巡检服务，1次/1月。</w:t>
            </w:r>
          </w:p>
          <w:p>
            <w:pPr>
              <w:pStyle w:val="null3"/>
              <w:jc w:val="both"/>
            </w:pPr>
            <w:r>
              <w:rPr>
                <w:rFonts w:ascii="仿宋_GB2312" w:hAnsi="仿宋_GB2312" w:cs="仿宋_GB2312" w:eastAsia="仿宋_GB2312"/>
              </w:rPr>
              <w:t>7．</w:t>
            </w:r>
            <w:r>
              <w:rPr>
                <w:rFonts w:ascii="仿宋_GB2312" w:hAnsi="仿宋_GB2312" w:cs="仿宋_GB2312" w:eastAsia="仿宋_GB2312"/>
              </w:rPr>
              <w:t>提供</w:t>
            </w:r>
            <w:r>
              <w:rPr>
                <w:rFonts w:ascii="仿宋_GB2312" w:hAnsi="仿宋_GB2312" w:cs="仿宋_GB2312" w:eastAsia="仿宋_GB2312"/>
              </w:rPr>
              <w:t>技术及链路运维培训，并根据</w:t>
            </w:r>
            <w:r>
              <w:rPr>
                <w:rFonts w:ascii="仿宋_GB2312" w:hAnsi="仿宋_GB2312" w:cs="仿宋_GB2312" w:eastAsia="仿宋_GB2312"/>
              </w:rPr>
              <w:t>采购人</w:t>
            </w:r>
            <w:r>
              <w:rPr>
                <w:rFonts w:ascii="仿宋_GB2312" w:hAnsi="仿宋_GB2312" w:cs="仿宋_GB2312" w:eastAsia="仿宋_GB2312"/>
              </w:rPr>
              <w:t>需求提供技术业务培训及研讨交流。</w:t>
            </w:r>
          </w:p>
          <w:p>
            <w:pPr>
              <w:pStyle w:val="null3"/>
              <w:jc w:val="both"/>
            </w:pPr>
            <w:r>
              <w:rPr>
                <w:rFonts w:ascii="仿宋_GB2312" w:hAnsi="仿宋_GB2312" w:cs="仿宋_GB2312" w:eastAsia="仿宋_GB2312"/>
              </w:rPr>
              <w:t>8、对于动态调整链路带宽的需求应在5个工作日内完成扩容。</w:t>
            </w:r>
          </w:p>
          <w:p>
            <w:pPr>
              <w:pStyle w:val="null3"/>
              <w:jc w:val="both"/>
            </w:pPr>
            <w:r>
              <w:rPr>
                <w:rFonts w:ascii="仿宋_GB2312" w:hAnsi="仿宋_GB2312" w:cs="仿宋_GB2312" w:eastAsia="仿宋_GB2312"/>
              </w:rPr>
              <w:t>（二）</w:t>
            </w:r>
            <w:r>
              <w:rPr>
                <w:rFonts w:ascii="仿宋_GB2312" w:hAnsi="仿宋_GB2312" w:cs="仿宋_GB2312" w:eastAsia="仿宋_GB2312"/>
              </w:rPr>
              <w:t>供应商</w:t>
            </w:r>
            <w:r>
              <w:rPr>
                <w:rFonts w:ascii="仿宋_GB2312" w:hAnsi="仿宋_GB2312" w:cs="仿宋_GB2312" w:eastAsia="仿宋_GB2312"/>
              </w:rPr>
              <w:t>提供详细可行的应急方案。</w:t>
            </w:r>
          </w:p>
          <w:p>
            <w:pPr>
              <w:pStyle w:val="null3"/>
              <w:jc w:val="both"/>
            </w:pPr>
            <w:r>
              <w:rPr>
                <w:rFonts w:ascii="仿宋_GB2312" w:hAnsi="仿宋_GB2312" w:cs="仿宋_GB2312" w:eastAsia="仿宋_GB2312"/>
              </w:rPr>
              <w:t>（三）</w:t>
            </w:r>
            <w:r>
              <w:rPr>
                <w:rFonts w:ascii="仿宋_GB2312" w:hAnsi="仿宋_GB2312" w:cs="仿宋_GB2312" w:eastAsia="仿宋_GB2312"/>
              </w:rPr>
              <w:t>供应商</w:t>
            </w:r>
            <w:r>
              <w:rPr>
                <w:rFonts w:ascii="仿宋_GB2312" w:hAnsi="仿宋_GB2312" w:cs="仿宋_GB2312" w:eastAsia="仿宋_GB2312"/>
              </w:rPr>
              <w:t>要严格遵守《中华人民共和国电信条例》和信息产业部颁布的《电信服务标准（试行）》、《电信服务规范》的线路质量要求，保障租用线路畅通。</w:t>
            </w:r>
          </w:p>
          <w:p>
            <w:pPr>
              <w:pStyle w:val="null3"/>
              <w:jc w:val="both"/>
            </w:pPr>
            <w:r>
              <w:rPr>
                <w:rFonts w:ascii="仿宋_GB2312" w:hAnsi="仿宋_GB2312" w:cs="仿宋_GB2312" w:eastAsia="仿宋_GB2312"/>
              </w:rPr>
              <w:t>（四）本项目所需所有接入光缆及设备由</w:t>
            </w:r>
            <w:r>
              <w:rPr>
                <w:rFonts w:ascii="仿宋_GB2312" w:hAnsi="仿宋_GB2312" w:cs="仿宋_GB2312" w:eastAsia="仿宋_GB2312"/>
              </w:rPr>
              <w:t>供应商</w:t>
            </w:r>
            <w:r>
              <w:rPr>
                <w:rFonts w:ascii="仿宋_GB2312" w:hAnsi="仿宋_GB2312" w:cs="仿宋_GB2312" w:eastAsia="仿宋_GB2312"/>
              </w:rPr>
              <w:t>提供（包括安装调试）。</w:t>
            </w:r>
          </w:p>
          <w:p>
            <w:pPr>
              <w:pStyle w:val="null3"/>
              <w:jc w:val="both"/>
            </w:pPr>
            <w:r>
              <w:rPr>
                <w:rFonts w:ascii="仿宋_GB2312" w:hAnsi="仿宋_GB2312" w:cs="仿宋_GB2312" w:eastAsia="仿宋_GB2312"/>
              </w:rPr>
              <w:t>四、</w:t>
            </w:r>
            <w:r>
              <w:rPr>
                <w:rFonts w:ascii="仿宋_GB2312" w:hAnsi="仿宋_GB2312" w:cs="仿宋_GB2312" w:eastAsia="仿宋_GB2312"/>
              </w:rPr>
              <w:t>商务要求</w:t>
            </w:r>
          </w:p>
          <w:p>
            <w:pPr>
              <w:pStyle w:val="null3"/>
              <w:jc w:val="both"/>
            </w:pPr>
            <w:r>
              <w:rPr>
                <w:rFonts w:ascii="仿宋_GB2312" w:hAnsi="仿宋_GB2312" w:cs="仿宋_GB2312" w:eastAsia="仿宋_GB2312"/>
              </w:rPr>
              <w:t>1.服务期：合同签订之日起两年。</w:t>
            </w:r>
          </w:p>
          <w:p>
            <w:pPr>
              <w:pStyle w:val="null3"/>
              <w:jc w:val="both"/>
            </w:pPr>
            <w:r>
              <w:rPr>
                <w:rFonts w:ascii="仿宋_GB2312" w:hAnsi="仿宋_GB2312" w:cs="仿宋_GB2312" w:eastAsia="仿宋_GB2312"/>
              </w:rPr>
              <w:t>2.项目建设期：30日历天。</w:t>
            </w:r>
          </w:p>
          <w:p>
            <w:pPr>
              <w:pStyle w:val="null3"/>
              <w:jc w:val="both"/>
            </w:pPr>
            <w:r>
              <w:rPr>
                <w:rFonts w:ascii="仿宋_GB2312" w:hAnsi="仿宋_GB2312" w:cs="仿宋_GB2312" w:eastAsia="仿宋_GB2312"/>
              </w:rPr>
              <w:t>3.付款方式：</w:t>
            </w:r>
          </w:p>
          <w:p>
            <w:pPr>
              <w:pStyle w:val="null3"/>
              <w:jc w:val="both"/>
            </w:pPr>
            <w:r>
              <w:rPr>
                <w:rFonts w:ascii="仿宋_GB2312" w:hAnsi="仿宋_GB2312" w:cs="仿宋_GB2312" w:eastAsia="仿宋_GB2312"/>
              </w:rPr>
              <w:t>合同签订后</w:t>
            </w:r>
            <w:r>
              <w:rPr>
                <w:rFonts w:ascii="仿宋_GB2312" w:hAnsi="仿宋_GB2312" w:cs="仿宋_GB2312" w:eastAsia="仿宋_GB2312"/>
              </w:rPr>
              <w:t>20个工作日内支付合同总价款</w:t>
            </w:r>
            <w:r>
              <w:rPr>
                <w:rFonts w:ascii="仿宋_GB2312" w:hAnsi="仿宋_GB2312" w:cs="仿宋_GB2312" w:eastAsia="仿宋_GB2312"/>
              </w:rPr>
              <w:t>50%；服务期满一年，经采购人验收合格后，支付余款（每次付款前，中标人需开具等额的增值税普通发票给采购人，采购人收到发票后付款）。</w:t>
            </w:r>
          </w:p>
          <w:p>
            <w:pPr>
              <w:pStyle w:val="null3"/>
              <w:jc w:val="both"/>
            </w:pPr>
            <w:r>
              <w:rPr>
                <w:rFonts w:ascii="仿宋_GB2312" w:hAnsi="仿宋_GB2312" w:cs="仿宋_GB2312" w:eastAsia="仿宋_GB2312"/>
              </w:rPr>
              <w:t>4.项目验收</w:t>
            </w:r>
          </w:p>
          <w:p>
            <w:pPr>
              <w:pStyle w:val="null3"/>
              <w:jc w:val="both"/>
            </w:pPr>
            <w:r>
              <w:rPr>
                <w:rFonts w:ascii="仿宋_GB2312" w:hAnsi="仿宋_GB2312" w:cs="仿宋_GB2312" w:eastAsia="仿宋_GB2312"/>
              </w:rPr>
              <w:t>4.1、 验收标准</w:t>
            </w:r>
          </w:p>
          <w:p>
            <w:pPr>
              <w:pStyle w:val="null3"/>
              <w:jc w:val="both"/>
            </w:pPr>
            <w:r>
              <w:rPr>
                <w:rFonts w:ascii="仿宋_GB2312" w:hAnsi="仿宋_GB2312" w:cs="仿宋_GB2312" w:eastAsia="仿宋_GB2312"/>
              </w:rPr>
              <w:t>4.1.1  服务完成后，由</w:t>
            </w:r>
            <w:r>
              <w:rPr>
                <w:rFonts w:ascii="仿宋_GB2312" w:hAnsi="仿宋_GB2312" w:cs="仿宋_GB2312" w:eastAsia="仿宋_GB2312"/>
              </w:rPr>
              <w:t>供应商</w:t>
            </w:r>
            <w:r>
              <w:rPr>
                <w:rFonts w:ascii="仿宋_GB2312" w:hAnsi="仿宋_GB2312" w:cs="仿宋_GB2312" w:eastAsia="仿宋_GB2312"/>
              </w:rPr>
              <w:t>与</w:t>
            </w:r>
            <w:r>
              <w:rPr>
                <w:rFonts w:ascii="仿宋_GB2312" w:hAnsi="仿宋_GB2312" w:cs="仿宋_GB2312" w:eastAsia="仿宋_GB2312"/>
              </w:rPr>
              <w:t>采购人</w:t>
            </w:r>
            <w:r>
              <w:rPr>
                <w:rFonts w:ascii="仿宋_GB2312" w:hAnsi="仿宋_GB2312" w:cs="仿宋_GB2312" w:eastAsia="仿宋_GB2312"/>
              </w:rPr>
              <w:t>约定时间，根据合同要求评估服务质量。</w:t>
            </w:r>
          </w:p>
          <w:p>
            <w:pPr>
              <w:pStyle w:val="null3"/>
              <w:jc w:val="both"/>
            </w:pPr>
            <w:r>
              <w:rPr>
                <w:rFonts w:ascii="仿宋_GB2312" w:hAnsi="仿宋_GB2312" w:cs="仿宋_GB2312" w:eastAsia="仿宋_GB2312"/>
              </w:rPr>
              <w:t>4.1.2  服务完成后，系统稳定运行，由</w:t>
            </w:r>
            <w:r>
              <w:rPr>
                <w:rFonts w:ascii="仿宋_GB2312" w:hAnsi="仿宋_GB2312" w:cs="仿宋_GB2312" w:eastAsia="仿宋_GB2312"/>
              </w:rPr>
              <w:t>供应商</w:t>
            </w:r>
            <w:r>
              <w:rPr>
                <w:rFonts w:ascii="仿宋_GB2312" w:hAnsi="仿宋_GB2312" w:cs="仿宋_GB2312" w:eastAsia="仿宋_GB2312"/>
              </w:rPr>
              <w:t>书面申请正式验收。</w:t>
            </w:r>
          </w:p>
          <w:p>
            <w:pPr>
              <w:pStyle w:val="null3"/>
              <w:jc w:val="both"/>
            </w:pPr>
            <w:r>
              <w:rPr>
                <w:rFonts w:ascii="仿宋_GB2312" w:hAnsi="仿宋_GB2312" w:cs="仿宋_GB2312" w:eastAsia="仿宋_GB2312"/>
              </w:rPr>
              <w:t xml:space="preserve">4.1.3  </w:t>
            </w:r>
            <w:r>
              <w:rPr>
                <w:rFonts w:ascii="仿宋_GB2312" w:hAnsi="仿宋_GB2312" w:cs="仿宋_GB2312" w:eastAsia="仿宋_GB2312"/>
              </w:rPr>
              <w:t>供应商</w:t>
            </w:r>
            <w:r>
              <w:rPr>
                <w:rFonts w:ascii="仿宋_GB2312" w:hAnsi="仿宋_GB2312" w:cs="仿宋_GB2312" w:eastAsia="仿宋_GB2312"/>
              </w:rPr>
              <w:t>按照</w:t>
            </w:r>
            <w:r>
              <w:rPr>
                <w:rFonts w:ascii="仿宋_GB2312" w:hAnsi="仿宋_GB2312" w:cs="仿宋_GB2312" w:eastAsia="仿宋_GB2312"/>
              </w:rPr>
              <w:t>采购人</w:t>
            </w:r>
            <w:r>
              <w:rPr>
                <w:rFonts w:ascii="仿宋_GB2312" w:hAnsi="仿宋_GB2312" w:cs="仿宋_GB2312" w:eastAsia="仿宋_GB2312"/>
              </w:rPr>
              <w:t>验收管理制度和流程准备好验收资料后，按约定时间进行系统运行（正式）验收。验收合格后，验收人员在《医院信息系统验收单》上签字，作为对系统的最终认可。</w:t>
            </w:r>
          </w:p>
          <w:p>
            <w:pPr>
              <w:pStyle w:val="null3"/>
              <w:jc w:val="both"/>
            </w:pPr>
            <w:r>
              <w:rPr>
                <w:rFonts w:ascii="仿宋_GB2312" w:hAnsi="仿宋_GB2312" w:cs="仿宋_GB2312" w:eastAsia="仿宋_GB2312"/>
              </w:rPr>
              <w:t>4.2、 验收依据</w:t>
            </w:r>
          </w:p>
          <w:p>
            <w:pPr>
              <w:pStyle w:val="null3"/>
              <w:jc w:val="both"/>
            </w:pPr>
            <w:r>
              <w:rPr>
                <w:rFonts w:ascii="仿宋_GB2312" w:hAnsi="仿宋_GB2312" w:cs="仿宋_GB2312" w:eastAsia="仿宋_GB2312"/>
              </w:rPr>
              <w:t>4.2.1 本合同及附件文本</w:t>
            </w:r>
          </w:p>
          <w:p>
            <w:pPr>
              <w:pStyle w:val="null3"/>
              <w:jc w:val="both"/>
            </w:pPr>
            <w:r>
              <w:rPr>
                <w:rFonts w:ascii="仿宋_GB2312" w:hAnsi="仿宋_GB2312" w:cs="仿宋_GB2312" w:eastAsia="仿宋_GB2312"/>
              </w:rPr>
              <w:t>4.2.2 国家相应的标准、规范</w:t>
            </w:r>
          </w:p>
          <w:p>
            <w:pPr>
              <w:pStyle w:val="null3"/>
              <w:jc w:val="both"/>
            </w:pPr>
            <w:r>
              <w:rPr>
                <w:rFonts w:ascii="仿宋_GB2312" w:hAnsi="仿宋_GB2312" w:cs="仿宋_GB2312" w:eastAsia="仿宋_GB2312"/>
              </w:rPr>
              <w:t xml:space="preserve">4.2.3 </w:t>
            </w:r>
            <w:r>
              <w:rPr>
                <w:rFonts w:ascii="仿宋_GB2312" w:hAnsi="仿宋_GB2312" w:cs="仿宋_GB2312" w:eastAsia="仿宋_GB2312"/>
              </w:rPr>
              <w:t>单一来源</w:t>
            </w:r>
            <w:r>
              <w:rPr>
                <w:rFonts w:ascii="仿宋_GB2312" w:hAnsi="仿宋_GB2312" w:cs="仿宋_GB2312" w:eastAsia="仿宋_GB2312"/>
              </w:rPr>
              <w:t>文件、</w:t>
            </w:r>
            <w:r>
              <w:rPr>
                <w:rFonts w:ascii="仿宋_GB2312" w:hAnsi="仿宋_GB2312" w:cs="仿宋_GB2312" w:eastAsia="仿宋_GB2312"/>
              </w:rPr>
              <w:t>单一来源响应</w:t>
            </w:r>
            <w:r>
              <w:rPr>
                <w:rFonts w:ascii="仿宋_GB2312" w:hAnsi="仿宋_GB2312" w:cs="仿宋_GB2312" w:eastAsia="仿宋_GB2312"/>
              </w:rPr>
              <w:t>文件、澄清表</w:t>
            </w:r>
            <w:r>
              <w:rPr>
                <w:rFonts w:ascii="仿宋_GB2312" w:hAnsi="仿宋_GB2312" w:cs="仿宋_GB2312" w:eastAsia="仿宋_GB2312"/>
              </w:rPr>
              <w:t>(函)</w:t>
            </w:r>
          </w:p>
          <w:p>
            <w:pPr>
              <w:pStyle w:val="null3"/>
              <w:jc w:val="both"/>
            </w:pPr>
            <w:r>
              <w:rPr>
                <w:rFonts w:ascii="仿宋_GB2312" w:hAnsi="仿宋_GB2312" w:cs="仿宋_GB2312" w:eastAsia="仿宋_GB2312"/>
                <w:sz w:val="21"/>
              </w:rPr>
              <w:t>4.2.4 服务承诺文件</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合同签订之日起两年。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西安市第一医院（采购人指定地点）。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进度款，签订合同后，达到付款条件起20个工作日内，支付合同总金额的50.0%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进度款，服务期满一年，经采购人验收合格后，支付余款（每次付款前，中标人需开具等额的增值税普通发票给采购人，采购人收到发票后付款），达到付款条件起20个工作日内，支付合同总金额的50.0%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1）服务完成后，由供应商与采购人约定时间，根据合同要求评估服务质量。（2）服务完成后，系统稳定运行，由供应商书面申请正式验收。（3）供应商按照采购人验收管理制度和流程准备好验收资料后，按约定时间进行系统运行（正式）验收。验收合格后，验收人员在《医院信息系统验收单》上签字，作为对系统的最终认可。 2.验收依据: （1）本合同及附件文本。 （2）国家相应的标准、规范；（3）单一来源文件、单一来源响应文件、澄清表(函)。（4）服务承诺文件。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2）供应商应自响应文件递交截止时间起至谈判结束，保持在线状态。（3）响应文件中凡是需要法定代表人盖章之处，由分支机构参与投标时，单位负责人均参照执行（法定代表人授权书由单位负责人签授）。（4）本项目具体支付方式以合同为准。（5）本项目商务条款不允许负偏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1.提供统一社会信用代码的营业执照或其他组织经营的合法凭证或自然人的提供身份证明文件。 2.提供具有财务审计资质单位出具的2025年度完整的财务审计报告；或投标前六个月内其基本账户银行出具的资信证明（附《基本存款账户信息》或《银行开户许可证》复印件）；或财政部门认可的政府采购专业担保机构出具的担保函，以上形式的证明资料提供任何一种即可。 3.提供已缴存的2025年6月1日以来至少三个月的社会保障资金缴存单据或社保机构开具的社会保险参保缴费情况证明。成立时间至提交响应文件截止时间不足一个月或依法不需要缴纳社会保障资金的供应商应提供相关文件证明。 4.提供已缴纳的 2025年6月1日以来至少三个月的纳税证明或完税证明，纳税证明或完税证明上应有代收机构或税务机关的公章或业务专用章。依法免税的供应商应提供相关文件证明。 5.（1）出具履行合同所必需的设备和专业技术能力的书面声明；（2）出具参加本次政府采购活动的书面声明。</w:t>
            </w:r>
          </w:p>
        </w:tc>
        <w:tc>
          <w:tcPr>
            <w:tcW w:type="dxa" w:w="1661"/>
          </w:tcPr>
          <w:p>
            <w:pPr>
              <w:pStyle w:val="null3"/>
            </w:pPr>
            <w:r>
              <w:rPr>
                <w:rFonts w:ascii="仿宋_GB2312" w:hAnsi="仿宋_GB2312" w:cs="仿宋_GB2312" w:eastAsia="仿宋_GB2312"/>
              </w:rPr>
              <w:t>提供政府采购政策等证明材料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被授权代表本单位证明：开标截止前连续近三个月（不含开标当月）投标供应商为其缴纳的养老保险缴纳证明。（法定代表人参加只需提供法定代表人身份证明）</w:t>
            </w:r>
          </w:p>
        </w:tc>
        <w:tc>
          <w:tcPr>
            <w:tcW w:type="dxa" w:w="1661"/>
          </w:tcPr>
          <w:p>
            <w:pPr>
              <w:pStyle w:val="null3"/>
            </w:pPr>
            <w:r>
              <w:rPr>
                <w:rFonts w:ascii="仿宋_GB2312" w:hAnsi="仿宋_GB2312" w:cs="仿宋_GB2312" w:eastAsia="仿宋_GB2312"/>
              </w:rPr>
              <w:t>提供政府采购政策等证明材料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案件当事人”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供应商与其他投标单位无交叉控股股东、无交叉兼任高级管理人员及涉嫌联合围标、串标行为，无采购单位和采购代理机构职工在该单位兼职的情况，不向采购单位和代理机构相关人员输送利益等行贿行为（提供承诺书）。 2.本项目不接受西安市第一医院职工及其亲属投资开办的企业参与本医院的政府采购活动（提供承诺书）。</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经营许可证</w:t>
            </w:r>
          </w:p>
        </w:tc>
        <w:tc>
          <w:tcPr>
            <w:tcW w:type="dxa" w:w="3322"/>
          </w:tcPr>
          <w:p>
            <w:pPr>
              <w:pStyle w:val="null3"/>
            </w:pPr>
            <w:r>
              <w:rPr>
                <w:rFonts w:ascii="仿宋_GB2312" w:hAnsi="仿宋_GB2312" w:cs="仿宋_GB2312" w:eastAsia="仿宋_GB2312"/>
              </w:rPr>
              <w:t>供应商需具有《增值电信业务经营许可证》及《基础电信业务经营许可证》。</w:t>
            </w:r>
          </w:p>
        </w:tc>
        <w:tc>
          <w:tcPr>
            <w:tcW w:type="dxa" w:w="1661"/>
          </w:tcPr>
          <w:p>
            <w:pPr>
              <w:pStyle w:val="null3"/>
            </w:pPr>
            <w:r>
              <w:rPr>
                <w:rFonts w:ascii="仿宋_GB2312" w:hAnsi="仿宋_GB2312" w:cs="仿宋_GB2312" w:eastAsia="仿宋_GB2312"/>
              </w:rPr>
              <w:t>供应商资格证明文件</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响应文件语言及有效期符合谈判文件要求。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报价表</w:t>
            </w:r>
          </w:p>
        </w:tc>
        <w:tc>
          <w:tcPr>
            <w:tcW w:type="dxa" w:w="3322"/>
          </w:tcPr>
          <w:p>
            <w:pPr>
              <w:pStyle w:val="null3"/>
            </w:pPr>
            <w:r>
              <w:rPr>
                <w:rFonts w:ascii="仿宋_GB2312" w:hAnsi="仿宋_GB2312" w:cs="仿宋_GB2312" w:eastAsia="仿宋_GB2312"/>
              </w:rPr>
              <w:t>1.报价符合唯一性要求； 2.报价表填写符合要求； 3.计量单位、报价货币均符合谈判文件要求； 4.未超出采购预算或谈判文件规定的最高限价。</w:t>
            </w:r>
          </w:p>
        </w:tc>
        <w:tc>
          <w:tcPr>
            <w:tcW w:type="dxa" w:w="1661"/>
          </w:tcPr>
          <w:p>
            <w:pPr>
              <w:pStyle w:val="null3"/>
            </w:pPr>
            <w:r>
              <w:rPr>
                <w:rFonts w:ascii="仿宋_GB2312" w:hAnsi="仿宋_GB2312" w:cs="仿宋_GB2312" w:eastAsia="仿宋_GB2312"/>
              </w:rPr>
              <w:t>第一次谈判报价表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一、评审中出现下列情形之一的，谈判小组应当启动异常低价投标审查程序： 1.谈判报价低于全部通过符合性审查供应商谈判报价平均值50%的，即谈判报价&lt;全部通过符合性审查供应商谈判报价平均值×50%； 2.谈判报价低于通过符合性审查的次低报价供应商谈判报价50%的，即谈判报价&lt;通过符合性审查的次低报价供应商谈判报价×50%； 3.谈判报价低于采购项目最高限价45%的，即谈判报价&lt;采购项目最高限价×45%； 4.谈判小组基于专业判断，认为供应商报价过低，有可能影响产品质量或者不能诚信履约的其他情形。 相关法律法规对供应商报价有规定的，从其规定。 二、谈判小组应当要求相关供应商在评审现场合理的时间内对谈判价格作出解释，提供项目具体成本测算等与报价合理性相关的书面说明及必要的证明材料，包括但不限于原材料成本、人工成本、制造费用等，给予相关供应商的合理时间一般不少于30分钟。谈判小组依据专业经验，参考同类项目中标（成交）价格、类似产品市场价格水平、行业人工费用标准、国家有关部门指导行业协会发布的行业平均成本等情况，对报价合理性进行判断。 三、谈判小组提交的相关说明和证明材料，应当加盖供应商（法定名称）电子印章，在谈判小组要求的时间内通过项目电子化交易系统进行提交，否则提交的相关证明材料无效。供应商不能提供书面说明、证明材料，或者提供的书面说明、证明材料不能证明其报价合理性的，谈判小组应当将其作为无效投标处理。</w:t>
            </w:r>
          </w:p>
        </w:tc>
        <w:tc>
          <w:tcPr>
            <w:tcW w:type="dxa" w:w="1661"/>
          </w:tcPr>
          <w:p>
            <w:pPr>
              <w:pStyle w:val="null3"/>
            </w:pPr>
            <w:r>
              <w:rPr>
                <w:rFonts w:ascii="仿宋_GB2312" w:hAnsi="仿宋_GB2312" w:cs="仿宋_GB2312" w:eastAsia="仿宋_GB2312"/>
              </w:rPr>
              <w:t>第一次谈判报价表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w:t>
            </w:r>
          </w:p>
        </w:tc>
        <w:tc>
          <w:tcPr>
            <w:tcW w:type="dxa" w:w="1661"/>
          </w:tcPr>
          <w:p>
            <w:pPr>
              <w:pStyle w:val="null3"/>
            </w:pPr>
            <w:r>
              <w:rPr>
                <w:rFonts w:ascii="仿宋_GB2312" w:hAnsi="仿宋_GB2312" w:cs="仿宋_GB2312" w:eastAsia="仿宋_GB2312"/>
              </w:rPr>
              <w:t>供应商企业关系关联承诺书 供应商廉洁自律承诺书</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采购文件规定的被视为无效响应的其他条款。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 服务方案 服务内容响应偏差表 商务条款偏离表 近年业绩的有关证明材料（若有）</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详见附件：第一次谈判报价表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详见附件：服务内容响应偏差表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详见附件：近年业绩的有关证明材料（若有）</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详见附件：供应商廉洁自律承诺书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