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D9CA1">
      <w:pPr>
        <w:pStyle w:val="13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第一次谈判报价表</w:t>
      </w:r>
    </w:p>
    <w:tbl>
      <w:tblPr>
        <w:tblStyle w:val="10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6D1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527694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05C0E4D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92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B291F8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147A9E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F3E9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279545E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月租费</w:t>
            </w:r>
          </w:p>
          <w:p w14:paraId="3C11A6A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元/月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496" w:type="dxa"/>
            <w:vAlign w:val="center"/>
          </w:tcPr>
          <w:p w14:paraId="4A46D3A8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  <w:p w14:paraId="22E77F36">
            <w:pP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 xml:space="preserve">    </w:t>
            </w:r>
          </w:p>
        </w:tc>
      </w:tr>
      <w:tr w14:paraId="6B06D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526AD0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总报价</w:t>
            </w:r>
          </w:p>
          <w:p w14:paraId="0E0634F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12C62D89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  <w:p w14:paraId="5AFE6A3F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</w:tc>
      </w:tr>
      <w:tr w14:paraId="0574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25E2C4F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6496" w:type="dxa"/>
            <w:vAlign w:val="center"/>
          </w:tcPr>
          <w:p w14:paraId="45DE6D7A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5DCA237">
      <w:pPr>
        <w:widowControl/>
        <w:shd w:val="clear"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2E2FC724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2AB2F2F4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文件其它地方表述不一致时，以本表为准；</w:t>
      </w:r>
    </w:p>
    <w:p w14:paraId="1AE8D05C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总报价不允许超过最高限价，否则按无效投标处理。</w:t>
      </w:r>
    </w:p>
    <w:p w14:paraId="21889564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7A147BE7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BEA7AFC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1D6A217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9488C66"/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2246"/>
    <w:rsid w:val="4812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6E9DCEDE8A8E48F1ABDCA80B2A095B82_13</vt:lpwstr>
  </property>
</Properties>
</file>