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AA7C0">
      <w:pPr>
        <w:spacing w:line="360" w:lineRule="auto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585079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val="en-US" w:eastAsia="zh-CN" w:bidi="ar"/>
        </w:rPr>
        <w:t>一、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 w:bidi="ar"/>
        </w:rPr>
        <w:t>西安高新区纪检监察工委谈话室视频系统升级项目清单</w:t>
      </w:r>
    </w:p>
    <w:tbl>
      <w:tblPr>
        <w:tblStyle w:val="8"/>
        <w:tblW w:w="5272" w:type="pct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174"/>
        <w:gridCol w:w="5900"/>
        <w:gridCol w:w="616"/>
        <w:gridCol w:w="658"/>
      </w:tblGrid>
      <w:tr w14:paraId="37D8AF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5650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5923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名称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95A71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参数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6EA2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数量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504B3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单位</w:t>
            </w:r>
          </w:p>
        </w:tc>
      </w:tr>
      <w:tr w14:paraId="442A14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72511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谈话室（3间）</w:t>
            </w:r>
          </w:p>
        </w:tc>
      </w:tr>
      <w:tr w14:paraId="6F80CC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22370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5C48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全景摄像机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2F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1.超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广角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定焦半球摄像机；水平视场角≥160°，垂直视场角≥130°; 彩色照度≤ 0.005 lx；分辨率≥2560 × 1920，≥2个麦克风、1个扬声器，具有1个RJ45网络接口、1个CVBS接口、1对音频输入/输出接口、1个RS485接口、1对报警输入/输出接口1 个内置扬声器；红外补光 ≥20米；支持POE 供电；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2.支持畸变矫正功能；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3.≥IP65防尘防水等级，IK10碰撞防护等级。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0C34F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98F5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545FA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A0EA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4BF5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特写摄像机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87182B0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1.变焦半球摄像机；≥5 倍光学变焦；水平视场角≥ 90°; 彩色照度≤ 0.0002 lx；分辨率≥2560×1440，具备1对音频输入/输出;1个 RS485接口；支持断网续传功能；≥ 2个内置麦克风；DC12V&amp;POE供电；≥IP67；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2.具备支持透雾，支持宽动态120 dB；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</w:t>
            </w:r>
            <w:r>
              <w:rPr>
                <w:rStyle w:val="13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3.内置防眩光补光灯；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4.具备普通监控补光≥30 m，人脸抓拍/识别补光≥3 m；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5.具备音频异常、区域入侵、绊线入侵等检测，支持声音联动。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C9F8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6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F0FE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527150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C7A95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C81DC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指挥摄像机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B75A5C1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1.网络球机，视频输出分辨率≥2560×1440；≥支持25倍光学变倍，焦距≥120mm；支持≥100米红外照射距离；支持水平旋转范围为0°~360°，垂直旋转范围为-5°~90°；支持照度彩色≤0.001Lux；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2.支持≥300个预置位，支持≥30条巡航路径，支持≥7条以上的模式路径设置，支持预置位视频冻结功能；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3.支持手动跟踪，事件跟踪，智能运动跟踪功能；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4.具备≥IP65防护；支持POE+供电。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6876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CC7DE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25F800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CB890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F61D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拾音器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564E369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▲1.具有≥32个麦克风单元，采用阵列结构设计；具有输出音量调节、降噪等级、去混响等于、自动增益等级和自动增益率调节，且支持网络调节；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2.动态范围0 dB ~105 dB；声压级≥120 dB；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3.拾音范围半径需≥10 m区域内；灵敏度≤-36dB；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4.输出信号幅度2.5 Vpp ；信噪比≥90 dB，</w:t>
            </w:r>
            <w:r>
              <w:rPr>
                <w:rStyle w:val="13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失真度≤3%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；频率响应 20 Hz~16 kHz；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5.音频传输距离需 ≥3000 m；输出阻抗 600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Ω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，平衡输出；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6.具备 线路输出，RJ45网口，DC电源输入等接口；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7.支持≥100级音量调节;支持通过网络对设备进行参数配置升级维护等；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8.DC9 V~30 V15和POE供电。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4B54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21DC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1982C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F730F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C74FA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温湿度显示屏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4ACD6D4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▲1.需具有1个RJ45网络接口、RS-232接口、RS-485接口、报警输入/输出接口;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2.支持LED显示年、月、日、星期、时、分、秒等时间信息和实时温度、湿度等环境信息；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3.面板需符合IK10防暴，采用防反光磨砂面板设计，温度显示范围：-19℃～99℃；湿度显示范围：0％～99％；检测范围：温度：–40°C ~ +125°C，湿度：0%~ 100%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4.支持POE功能；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5.支持HTTP、NTP、手动校时；支持屏幕亮度调节。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77133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5F86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307273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1685E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6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FBAA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同步录音录像主机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0BDFEE0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1.支持≥8路4K IPC接入，支持两路4K/30Hz高清HDMI视频输出；采用H.264或H.265压缩技术，画中画通道分辨率需支持4K、2K、1080P、2CIF等分辨率编码；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▲2.包含但不限于≥6个SATA接口、≥3个VGA接口、≥4个HDMI接口、≥1个RS-232接口、≥3个RS485接口、≥4个报警输出接口、≥4个RCA音频输入接口、≥2个音频输出接口；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▲3.具有≥7寸液晶触摸屏，支持实时视频预览、主机硬盘录像回放及光盘录像回放；支持显示主机刻录状态、硬盘信息、刻录剩余时间、内存使用率、异常检测标识；可进行一键刻录，参数配置等操作；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4.支持单画面、1大2小、1大3小、1大4小、1大5小、1大7小、4均分等多种画面合成方式；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5.支持刻录数据数字水印加密和哈希检验技术；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6.支持在国产操作系统上登录WEB客户端并进行参数配置、预览、播放录像、下载等操作；通过主机刻录进光盘的录像文件可以直接在国产操作系统上播放；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7.支持通过RS-485或网络协议接入环境监测显示器，并可以对其进行校时、获取温湿度信息、获取PM2.5信息、获取CO2信息；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8.支持案件编号、案件名称、自定义1、自定义2、自定义3、自定义4、自定义5等片头内容设置功能。片头内容设置完毕后，可自动生成片头叠加于视频画面。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5B7B0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01995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57D4B0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BBBC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7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56C7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监控级硬盘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C363D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标称容量≥6TB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接口类型：SATA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转速≥5400RPM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3.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缓存≥256MiB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B502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DC5D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块</w:t>
            </w:r>
          </w:p>
        </w:tc>
      </w:tr>
      <w:tr w14:paraId="1EF3A7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BD956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 w:bidi="ar"/>
              </w:rPr>
              <w:t>走廊</w:t>
            </w:r>
          </w:p>
        </w:tc>
      </w:tr>
      <w:tr w14:paraId="4AA482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B05C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FD2A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 xml:space="preserve">400万半球摄像机 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BA80F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1.全彩定焦半球摄像机, 1/1.8CMOS传感器，内置1颗CPU、GPU、NPU于一体的芯片</w:t>
            </w:r>
          </w:p>
          <w:p w14:paraId="24ABF041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2.2.8mm，4mm，6mm镜头可选，水平视场角≥ 100°，照度彩色≤ 0.0005lx；光圈≥F1.0，分辨率≥2560×1440@25fps; ；≥1个内置麦克风，支持1个内置扬声器；支持柔光补光≥30 m；</w:t>
            </w:r>
          </w:p>
          <w:p w14:paraId="3B8DC400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 xml:space="preserve">3.具备大模型AI编码功能，对人、机动车等高价值目标进行解析，通过ROI分割技术，分离前景目标与背景区域，前景采用常规编码保障细节完整，背景采用高效压缩降低码率和存储空间； </w:t>
            </w:r>
          </w:p>
          <w:p w14:paraId="77BD154E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4.在同一监控场景下，AI编码功能开启并运行24h后，相比于不开启AI编码功能状态下的H.265编码，在目标清晰度无明显降低的条件下，码率节约不小于50％；</w:t>
            </w:r>
          </w:p>
          <w:p w14:paraId="7D91587C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5.DC12V&amp;POE供电；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IP67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C1D6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17C8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24D802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F4962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指挥室</w:t>
            </w:r>
          </w:p>
        </w:tc>
      </w:tr>
      <w:tr w14:paraId="3FB03D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25C03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4023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操作电脑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BD7AD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1.国产CPU；</w:t>
            </w:r>
          </w:p>
          <w:p w14:paraId="71177BCC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内存</w:t>
            </w:r>
            <w:bookmarkStart w:id="0" w:name="OLE_LINK2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≥</w:t>
            </w:r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16G、固态硬盘≥512GB、显卡内存≥2G</w:t>
            </w:r>
          </w:p>
          <w:p w14:paraId="6A9D5546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显示器尺寸≥23.8英寸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0DE41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E57CF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5D7DF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BB96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F94C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操作系统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8E689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1.国产操作系统须具备自主知识产权与安全可靠测评资质，同源适配多类国产芯片架构。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5362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4767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套</w:t>
            </w:r>
          </w:p>
        </w:tc>
      </w:tr>
      <w:tr w14:paraId="43C4C8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F2F2F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F277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解码显示一体机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3C7030A">
            <w:pPr>
              <w:spacing w:line="360" w:lineRule="auto"/>
              <w:textAlignment w:val="bottom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1.</w:t>
            </w:r>
            <w:bookmarkStart w:id="1" w:name="OLE_LINK1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≥</w:t>
            </w:r>
            <w:bookmarkEnd w:id="1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55寸带解码LED液晶监视器，金属外观；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2.分辨率≥3840 × 2160；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3.亮度≥350cd/㎡；对比度3000：1；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4.主要接口包含但不限于HDMI2.0×1；</w:t>
            </w:r>
            <w:r>
              <w:rPr>
                <w:rStyle w:val="13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Speaker×2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，AUDIO OUT ×1；LAN ×1，CONSOLE ×1，</w:t>
            </w:r>
            <w:r>
              <w:rPr>
                <w:rStyle w:val="13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RELAY IN×1，RELAY OUT×2，</w:t>
            </w:r>
            <w:r>
              <w:rPr>
                <w:rStyle w:val="15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RS-485 ×1；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5.支持≥8 路 1080P@30Hz、16 路 720P @30Hz、32 路 D1，支持≥ 36 路分屏显示。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251D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3DDA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只</w:t>
            </w:r>
          </w:p>
        </w:tc>
      </w:tr>
      <w:tr w14:paraId="70896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A767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424F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壁挂支架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281CC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 xml:space="preserve">1.单屏壁挂支架，冷轧钢板，黑色，安装孔位：(200mm~400mm)x(200mm~400mm)；产品承重：≥60kg 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E2A2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D9E3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个</w:t>
            </w:r>
          </w:p>
        </w:tc>
      </w:tr>
      <w:tr w14:paraId="552D5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9D81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集中存储（机房）</w:t>
            </w:r>
          </w:p>
        </w:tc>
      </w:tr>
      <w:tr w14:paraId="34FDA7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A4571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066F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视频平台一体机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72C628B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1.平台一体机软件包含但不限于基础包、视频监控、门禁管理、智能监控、视频联网、入侵报警、设备网络管理等；其中包含≥300路视频，≥50个门禁，≥4车辆通道管理，≥50个防区管理 ，1个国产化PC客户端管理授权；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2.平台支持实现视频预览、录像回放、视频上墙、视频事件监控服务能力；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平台支持通过接入多种门禁设备，利用卡片、人脸等介质，实现人员身份辨别、出入管控等智能应用，提供门禁权限管理、事件管理、门禁状态查看、门禁远程控制、人员出入记录实时展示、远程呼叫对讲等应用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4.平台支持对接入平台的视频设备，门禁设备等进行在线巡检，及时发现故障设备和掉线设备；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5.平台支持报警子系统管理能力，包含布防、撤防、消警控制操作；支持防区管理能力，包含旁路、旁路恢复操作；支持实时入侵报警能力；支持历史入侵报警事件查询及导出能力；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 xml:space="preserve">6.平台一体机采用双系统设计，集主控、转发、管理、存储、智能应用于一体；≥2U标准机架式≥4盘位设备，≥6核处理器，≥48G内存, ATX电源；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7.主要接口包含但不限于1个HDMI接口，≥2个10M/100M/1000Mbps网口；≥16路报警输入，≥4路报警输出；≥32路本地局域网视频接入；≥8×1080P本地解码输出；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8.平台国产化客户端支持麒麟、统信等操作系统。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67A93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CCCA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3ED5BE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955C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04F9F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磁盘阵列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3DED564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1.≥48个硬盘插槽，配置64位多核处理器，≥8GB内存；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2.支持视音频流直存；具备≥450路2Mbps 视频录像存储能力；支持ONVIF、GB/T 28181、RTSP等标准协议；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▲3.主要接口包含但不限于1个RS232串口/CONSOLE接口，1个VGA接口，1个HDMI接口，≥2个USB2.0接口，≥2个USB3.0接口，≥3个2.5G网口，1个2.5G管理网口，1个Esata接口，采用可热插拔1+1AC220V电源；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4.支持视频检索功能，按照监控点编号、录像类型、时间组合等条件查询；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5.支持运维总览展示，可快速定位设备异常情况。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44BF1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E532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224B96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9628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6EA70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硬盘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15BF6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1.≥12TB容量，3.5英寸，SATA3.0接口，≥7200RPM；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2.传输速率≥267 MB/s，≥512MB高速缓存；支持≥5年有限质保服务。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66C6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45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7F16C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块</w:t>
            </w:r>
          </w:p>
        </w:tc>
      </w:tr>
      <w:tr w14:paraId="0C366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E186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A142C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POE交换机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7894E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1.≥24个千兆PoE电口和≥2个千兆光口；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2.交换容量≥56 Gbps；包转发率≥41.66 Mpps；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3.支持IEEE 802.3at/af标准；支持IEEE 802.3、IEEE 802.3u、IEEE 802.3x、IEEE 802.3ab、IEEE 802.3z标准；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4.支持安防网络拓扑管理、端口管理，支持远程升级；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5.支持6 KV防浪涌（PoE口）；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6.支持PoE输出功率管理，整机最大PoE输出功率230 W。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EF87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859D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bookmarkStart w:id="2" w:name="_GoBack"/>
            <w:bookmarkEnd w:id="2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1956E9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6949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49117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千兆交换机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CA938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1.≥24个千兆电口；≥4个千兆光口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2.支持通过 console 口管理；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3.交换容量≥336Gbps/3.36Tbps，包转发率≥108/126Mpps；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4.支持VLAN，流量控制ACL;QOS。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5629E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9D9AA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7A1BDE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84C8E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施工及辅材</w:t>
            </w:r>
          </w:p>
        </w:tc>
      </w:tr>
      <w:tr w14:paraId="2CE8D2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43C5E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24A5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42U机柜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1C170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1.机柜尺寸≥42U、冷轧钢板、防护等级IP20、网孔门带支撑脚。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1930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AFFD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个</w:t>
            </w:r>
          </w:p>
        </w:tc>
      </w:tr>
      <w:tr w14:paraId="0BEBF3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608D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C16E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辅材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0726F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网线、高清线缆、电源线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0338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5A723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批</w:t>
            </w:r>
          </w:p>
        </w:tc>
      </w:tr>
      <w:tr w14:paraId="17D46D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1460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F556A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安装调试费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EE084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设备调试、网络调试等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76F3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42C7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批</w:t>
            </w:r>
          </w:p>
        </w:tc>
      </w:tr>
    </w:tbl>
    <w:p w14:paraId="3B431B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val="en-US" w:eastAsia="zh-CN" w:bidi="ar"/>
        </w:rPr>
      </w:pPr>
      <w:r>
        <w:rPr>
          <w:rFonts w:hint="eastAsia" w:ascii="仿宋_GB2312" w:hAnsi="仿宋_GB2312" w:cs="仿宋_GB2312"/>
          <w:b/>
          <w:bCs/>
          <w:color w:val="auto"/>
          <w:sz w:val="24"/>
          <w:szCs w:val="24"/>
          <w:highlight w:val="none"/>
          <w:lang w:val="en-US" w:eastAsia="zh-CN" w:bidi="ar"/>
        </w:rPr>
        <w:t>二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val="en-US" w:eastAsia="zh-CN" w:bidi="ar"/>
        </w:rPr>
        <w:t>、项目实施要求</w:t>
      </w:r>
    </w:p>
    <w:p w14:paraId="4A320CA3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1.施工前方案深化：结合现场勘测优化点位布局，明确摄像机类型、存储时长、网络架构，兼顾覆盖范围、夜视效果与盲区消除，方案经甲方确认后方可施工。</w:t>
      </w:r>
    </w:p>
    <w:p w14:paraId="0DE3C0ED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2.设备进场：所有安防设备核对型号、合格证，外观完好无破损；做好设备台账，严禁使用三无、翻新设备，进场资料同步归档。</w:t>
      </w:r>
    </w:p>
    <w:p w14:paraId="3E0936F6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3.管线施工：线缆敷设横平竖直，强弱电分离，做好穿管防护、标识编号；室外管线防水、接地到位，桥架固定牢固，避免线路挤压磨损。</w:t>
      </w:r>
    </w:p>
    <w:p w14:paraId="76C106FC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4.设备安装：摄像机安装稳固，角度合理，避开遮挡与强光逆光；交换机、NVR、服务器集中机柜规范部署，散热良好，接线整齐。</w:t>
      </w:r>
    </w:p>
    <w:p w14:paraId="570196D5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5.系统调试：调试图像画质、录像策略、移动侦测、远程预览功能，保证录像完整可回放，网络稳定无卡顿。</w:t>
      </w:r>
    </w:p>
    <w:p w14:paraId="243EFB8E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6.验收交付：整理竣工图纸、设备清单、操作手册，配合甲方逐项验收；完成操作培训，留存售后联系方式，落实质保服务。</w:t>
      </w:r>
    </w:p>
    <w:p w14:paraId="0F0AD538">
      <w:pPr>
        <w:spacing w:line="360" w:lineRule="auto"/>
        <w:ind w:firstLine="482" w:firstLineChars="200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cs="仿宋_GB2312"/>
          <w:b/>
          <w:bCs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  <w:t>、商务要求</w:t>
      </w:r>
    </w:p>
    <w:p w14:paraId="64F496CB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本项目质保期3年。</w:t>
      </w:r>
    </w:p>
    <w:p w14:paraId="6CB7C011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供应商须具备承接本安防监控项目相应履约能力，严格按照磋商文件、技术方案及合同约定完成供货、施工、调试、验收及售后服务。报价包含设备、辅材、运输、安装、调试、税费、培训、质保等全部费用，实行总价包干，项目实施期间不再产生额外增项费用。供货周期、施工工期须响应需求，按期完成全部建设内容。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需完整提供产品合格证、检测报告、竣工资料等全套资料，保证设备渠道正规、原厂正品，不存在侵权及翻新产品。质保期内提供免费维修、故障响应服务，建立应急保障机制，及时处置系统故障。项目验收合格后按合同约定流程申请款项，供应商须遵守各项商务条款，不得违法分包、转包，若出现违约情形，按合同相应条款承担责任。</w:t>
      </w:r>
    </w:p>
    <w:p w14:paraId="101A7915">
      <w:pPr>
        <w:spacing w:line="360" w:lineRule="auto"/>
        <w:ind w:firstLine="482" w:firstLineChars="200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cs="仿宋_GB2312"/>
          <w:b/>
          <w:bCs/>
          <w:color w:val="auto"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  <w:t>、核心产品</w:t>
      </w:r>
    </w:p>
    <w:p w14:paraId="6179DEF8">
      <w:pPr>
        <w:pStyle w:val="7"/>
        <w:spacing w:after="0"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本项目核心产品为视频平台一体机、磁盘阵列。</w:t>
      </w:r>
    </w:p>
    <w:p w14:paraId="7C7FB4AC">
      <w:pPr>
        <w:spacing w:line="360" w:lineRule="auto"/>
        <w:ind w:firstLine="482" w:firstLineChars="200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cs="仿宋_GB2312"/>
          <w:b/>
          <w:bCs/>
          <w:color w:val="auto"/>
          <w:sz w:val="24"/>
          <w:szCs w:val="24"/>
          <w:highlight w:val="none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  <w:t>、其他要求</w:t>
      </w:r>
    </w:p>
    <w:p w14:paraId="2BC526BA">
      <w:pPr>
        <w:pStyle w:val="7"/>
        <w:spacing w:after="0"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1、采购人付清所有款项后本项目涉及的知识产权归 采购人所有，成交供应商享有署名权。</w:t>
      </w:r>
    </w:p>
    <w:p w14:paraId="2462F6F1">
      <w:pPr>
        <w:pStyle w:val="7"/>
        <w:spacing w:after="0"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2、成交供应商须对本项目相关事宜负有保密义务，不得对第三方泄露本项目相关信息。由采购人提供给成交供应商的物品、资料、文件、讯息及数据等为采购人所有之财产，成交供应商除履行本合同目的之所需外，不得对任何个人、公司或其他组织及在任何场合泄露前述物品和资料。</w:t>
      </w:r>
    </w:p>
    <w:p w14:paraId="24D77D38">
      <w:pPr>
        <w:pStyle w:val="7"/>
        <w:spacing w:after="0"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3、成交供应商需按照项目要求完成采购并安装调试正常使用，由采购人委托人确认合格。</w:t>
      </w:r>
    </w:p>
    <w:p w14:paraId="23E28EC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default"/>
          <w:sz w:val="28"/>
          <w:szCs w:val="1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 xml:space="preserve">4、甲乙双方自合同签订之日起，如其中任何一方无故终止合同，除赔偿对方相应损失外，还应向对方支付违约金作为赔偿，违约金按合同总金额的5%计算。   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34048"/>
    <w:rsid w:val="050471D5"/>
    <w:rsid w:val="053C7039"/>
    <w:rsid w:val="05711A44"/>
    <w:rsid w:val="07055153"/>
    <w:rsid w:val="07F933E3"/>
    <w:rsid w:val="09CF2980"/>
    <w:rsid w:val="09D0533B"/>
    <w:rsid w:val="0B6F77E5"/>
    <w:rsid w:val="0BE77DA2"/>
    <w:rsid w:val="0D8F6154"/>
    <w:rsid w:val="117A2513"/>
    <w:rsid w:val="13FE0526"/>
    <w:rsid w:val="181C3FA3"/>
    <w:rsid w:val="18EF18DD"/>
    <w:rsid w:val="19235D7C"/>
    <w:rsid w:val="1F5A6197"/>
    <w:rsid w:val="23C949D6"/>
    <w:rsid w:val="26396924"/>
    <w:rsid w:val="26E13E53"/>
    <w:rsid w:val="27D868FE"/>
    <w:rsid w:val="283D6944"/>
    <w:rsid w:val="297558AC"/>
    <w:rsid w:val="2D901664"/>
    <w:rsid w:val="333A6108"/>
    <w:rsid w:val="34391CBC"/>
    <w:rsid w:val="34880D18"/>
    <w:rsid w:val="34E06B1D"/>
    <w:rsid w:val="34FD51B3"/>
    <w:rsid w:val="37B13F46"/>
    <w:rsid w:val="385935CD"/>
    <w:rsid w:val="3A6F7E2D"/>
    <w:rsid w:val="3ABB227F"/>
    <w:rsid w:val="3C31041F"/>
    <w:rsid w:val="3D1928D1"/>
    <w:rsid w:val="3F41226C"/>
    <w:rsid w:val="41271A71"/>
    <w:rsid w:val="427D3EB0"/>
    <w:rsid w:val="44C01FE2"/>
    <w:rsid w:val="485E59E4"/>
    <w:rsid w:val="4A3C512E"/>
    <w:rsid w:val="4BE156B5"/>
    <w:rsid w:val="4EE80B08"/>
    <w:rsid w:val="50742555"/>
    <w:rsid w:val="52876BC7"/>
    <w:rsid w:val="530774AF"/>
    <w:rsid w:val="55A52421"/>
    <w:rsid w:val="579A3366"/>
    <w:rsid w:val="59502521"/>
    <w:rsid w:val="5B0842C5"/>
    <w:rsid w:val="5C036210"/>
    <w:rsid w:val="5CD53D97"/>
    <w:rsid w:val="5EAE573F"/>
    <w:rsid w:val="5F171848"/>
    <w:rsid w:val="615B30D9"/>
    <w:rsid w:val="615C33BC"/>
    <w:rsid w:val="636D3049"/>
    <w:rsid w:val="69374335"/>
    <w:rsid w:val="693A7F09"/>
    <w:rsid w:val="6A894E1B"/>
    <w:rsid w:val="6AF272E7"/>
    <w:rsid w:val="6B861DFC"/>
    <w:rsid w:val="6C136138"/>
    <w:rsid w:val="6C414997"/>
    <w:rsid w:val="6C5C1EDC"/>
    <w:rsid w:val="6E5824A9"/>
    <w:rsid w:val="70DA5D7D"/>
    <w:rsid w:val="72E3010A"/>
    <w:rsid w:val="738B22F5"/>
    <w:rsid w:val="75153B55"/>
    <w:rsid w:val="7540409A"/>
    <w:rsid w:val="75FC26D7"/>
    <w:rsid w:val="78A417BB"/>
    <w:rsid w:val="7B7D3A13"/>
    <w:rsid w:val="7CCE6984"/>
    <w:rsid w:val="7D393C95"/>
    <w:rsid w:val="7D6D78F8"/>
    <w:rsid w:val="7DF2584A"/>
    <w:rsid w:val="7E7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76" w:lineRule="exact"/>
      <w:jc w:val="both"/>
    </w:pPr>
    <w:rPr>
      <w:rFonts w:ascii="Times New Roman" w:hAnsi="Times New Roman" w:eastAsia="仿宋_GB2312" w:cstheme="minorBidi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link w:val="11"/>
    <w:autoRedefine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sz w:val="32"/>
      <w:szCs w:val="48"/>
      <w:lang w:bidi="ar"/>
    </w:rPr>
  </w:style>
  <w:style w:type="paragraph" w:styleId="3">
    <w:name w:val="heading 2"/>
    <w:basedOn w:val="1"/>
    <w:next w:val="1"/>
    <w:link w:val="10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0"/>
      <w:szCs w:val="24"/>
    </w:rPr>
  </w:style>
  <w:style w:type="paragraph" w:styleId="4">
    <w:name w:val="heading 3"/>
    <w:basedOn w:val="1"/>
    <w:next w:val="1"/>
    <w:link w:val="12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24"/>
      <w:szCs w:val="24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autoRedefine/>
    <w:qFormat/>
    <w:uiPriority w:val="0"/>
    <w:pPr>
      <w:ind w:firstLine="420" w:firstLineChars="200"/>
    </w:pPr>
  </w:style>
  <w:style w:type="paragraph" w:styleId="7">
    <w:name w:val="Body Text"/>
    <w:basedOn w:val="1"/>
    <w:autoRedefine/>
    <w:qFormat/>
    <w:uiPriority w:val="0"/>
    <w:pPr>
      <w:spacing w:after="120" w:afterLines="0" w:afterAutospacing="0"/>
    </w:pPr>
  </w:style>
  <w:style w:type="character" w:customStyle="1" w:styleId="10">
    <w:name w:val="标题 2 Char"/>
    <w:link w:val="3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0"/>
      <w:szCs w:val="24"/>
      <w:lang w:eastAsia="en-US"/>
    </w:rPr>
  </w:style>
  <w:style w:type="character" w:customStyle="1" w:styleId="11">
    <w:name w:val="标题 1 Char"/>
    <w:link w:val="2"/>
    <w:autoRedefine/>
    <w:qFormat/>
    <w:uiPriority w:val="0"/>
    <w:rPr>
      <w:rFonts w:ascii="宋体" w:hAnsi="宋体" w:eastAsia="仿宋_GB2312" w:cs="宋体"/>
      <w:b/>
      <w:bCs/>
      <w:snapToGrid w:val="0"/>
      <w:color w:val="000000"/>
      <w:spacing w:val="-4"/>
      <w:kern w:val="44"/>
      <w:sz w:val="32"/>
      <w:szCs w:val="24"/>
      <w:lang w:val="en-US" w:eastAsia="en-US" w:bidi="ar-SA"/>
    </w:rPr>
  </w:style>
  <w:style w:type="character" w:customStyle="1" w:styleId="12">
    <w:name w:val="标题 3 Char"/>
    <w:link w:val="4"/>
    <w:qFormat/>
    <w:uiPriority w:val="0"/>
    <w:rPr>
      <w:rFonts w:ascii="Calibri" w:hAnsi="Calibri" w:eastAsia="仿宋_GB2312" w:cs="Times New Roman"/>
      <w:b/>
      <w:bCs/>
      <w:sz w:val="24"/>
      <w:szCs w:val="24"/>
    </w:rPr>
  </w:style>
  <w:style w:type="character" w:customStyle="1" w:styleId="13">
    <w:name w:val="font11"/>
    <w:basedOn w:val="9"/>
    <w:qFormat/>
    <w:uiPriority w:val="0"/>
    <w:rPr>
      <w:rFonts w:hint="eastAsia" w:ascii="仿宋" w:hAnsi="仿宋" w:eastAsia="仿宋" w:cs="仿宋"/>
      <w:color w:val="FF0000"/>
      <w:sz w:val="18"/>
      <w:szCs w:val="18"/>
      <w:u w:val="none"/>
    </w:rPr>
  </w:style>
  <w:style w:type="character" w:customStyle="1" w:styleId="14">
    <w:name w:val="font31"/>
    <w:basedOn w:val="9"/>
    <w:qFormat/>
    <w:uiPriority w:val="0"/>
    <w:rPr>
      <w:rFonts w:hint="eastAsia" w:ascii="仿宋" w:hAnsi="仿宋" w:eastAsia="仿宋" w:cs="仿宋"/>
      <w:color w:val="000000"/>
      <w:sz w:val="18"/>
      <w:szCs w:val="18"/>
      <w:u w:val="none"/>
    </w:rPr>
  </w:style>
  <w:style w:type="character" w:customStyle="1" w:styleId="15">
    <w:name w:val="font51"/>
    <w:basedOn w:val="9"/>
    <w:qFormat/>
    <w:uiPriority w:val="0"/>
    <w:rPr>
      <w:rFonts w:hint="eastAsia" w:ascii="仿宋" w:hAnsi="仿宋" w:eastAsia="仿宋" w:cs="仿宋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2023-03-24T03:57:00Z</dcterms:created>
  <dc:creator>DELL</dc:creator>
  <cp:lastModifiedBy>陕西华采招标有限公司</cp:lastModifiedBy>
  <dcterms:modified xsi:type="dcterms:W3CDTF">2026-09-01T06:31:43Z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2565929D983A4C9D93BB486716BBE886_12</vt:lpwstr>
  </property>
  <property fmtid="{D5CDD505-2E9C-101B-9397-08002B2CF9AE}" pid="4" name="KSOTemplateDocerSaveRecord">
    <vt:lpwstr>eyJoZGlkIjoiZjJhNzdmOTM5YmVkNWYxMDI1ZDJkZDk5YzNhZTc2YzAiLCJ1c2VySWQiOiI5MzY1NjA0ODAifQ==</vt:lpwstr>
  </property>
</Properties>
</file>