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版本号：HSGJ2026-179.1B120260721001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2026年白水县北塬镇杨武村产业道路建设项目(二次)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HSGJ2026-179.1B1</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2026年白水县北塬镇杨武村产业道路建设项目(二次)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HSGJ2026-179.1B1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2026年白水县北塬镇杨武村产业道路建设项目(二次)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2026年白水县北塬镇杨武村产业道路建设项目，具体内容详见第三章。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采购包1（2026年白水县北塬镇杨武村产业道路建设项目）：属于专门面向中小企业采购。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10、磋商保证金：磋商保证金转账凭证或担保函（供应商若提交保函，应于响应文件递交截止时间前将保函扫描件发送至代理机构邮箱）。</w:t>
      </w:r>
    </w:p>
    <w:p>
      <w:pPr>
        <w:pStyle w:val="null3"/>
      </w:pPr>
      <w:r>
        <w:rPr>
          <w:rFonts w:ascii="仿宋_GB2312" w:hAnsi="仿宋_GB2312" w:cs="仿宋_GB2312" w:eastAsia="仿宋_GB2312"/>
        </w:rPr>
        <w:t>11、资质要求：供应商须具备市政公用工程施工总承包三级及以上（含三级）资质（或调整后的同等级资质），并具有有效的安全生产许可证；</w:t>
      </w:r>
    </w:p>
    <w:p>
      <w:pPr>
        <w:pStyle w:val="null3"/>
      </w:pPr>
      <w:r>
        <w:rPr>
          <w:rFonts w:ascii="仿宋_GB2312" w:hAnsi="仿宋_GB2312" w:cs="仿宋_GB2312" w:eastAsia="仿宋_GB2312"/>
        </w:rPr>
        <w:t>12、项目经理：供应商拟派项目经理须具备在本单位注册的市政公用工程专业贰级（含贰级）以上注册建造师资质，具备有效的安全生产考核证书B证，且未担任其他在建项目的承诺书；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采购包1：751,343.79元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 [2002]1980号）和（发改办价格[2003]857号）收费标准计取。银行户名：华晟国际项目管理有限公司 开户银行：建设银行西安劳动路支行 账 号：610501 740015 00000 427 转账事由：HSGJ2026-179项目代理服务费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751,343.79</w:t>
      </w:r>
    </w:p>
    <w:p>
      <w:pPr>
        <w:pStyle w:val="null3"/>
      </w:pPr>
      <w:r>
        <w:rPr>
          <w:rFonts w:ascii="仿宋_GB2312" w:hAnsi="仿宋_GB2312" w:cs="仿宋_GB2312" w:eastAsia="仿宋_GB2312"/>
        </w:rPr>
        <w:t>采购包最高限价（元）: 751,343.79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2026年白水县北塬镇杨武村产业道路建设项目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751,343.79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2026年白水县北塬镇杨武村产业道路建设项目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rPr>
              <w:t>项目位于北塬镇杨武村南侧，是进入仓圣山及附近农田的主要道路，对现有泥土路进行硬化处理</w:t>
            </w:r>
            <w:r>
              <w:rPr>
                <w:rFonts w:ascii="仿宋_GB2312" w:hAnsi="仿宋_GB2312" w:cs="仿宋_GB2312" w:eastAsia="仿宋_GB2312"/>
                <w:sz w:val="24"/>
              </w:rPr>
              <w:t>，具体</w:t>
            </w:r>
            <w:r>
              <w:rPr>
                <w:rFonts w:ascii="仿宋_GB2312" w:hAnsi="仿宋_GB2312" w:cs="仿宋_GB2312" w:eastAsia="仿宋_GB2312"/>
                <w:sz w:val="24"/>
              </w:rPr>
              <w:t>详见工程量清单及图纸。</w:t>
            </w:r>
          </w:p>
          <w:p>
            <w:pPr>
              <w:pStyle w:val="null3"/>
              <w:ind w:firstLine="482"/>
            </w:pPr>
            <w:r>
              <w:rPr>
                <w:rFonts w:ascii="仿宋_GB2312" w:hAnsi="仿宋_GB2312" w:cs="仿宋_GB2312" w:eastAsia="仿宋_GB2312"/>
                <w:sz w:val="24"/>
                <w:b/>
              </w:rPr>
              <w:t>二、工程地点：</w:t>
            </w:r>
            <w:r>
              <w:rPr>
                <w:rFonts w:ascii="仿宋_GB2312" w:hAnsi="仿宋_GB2312" w:cs="仿宋_GB2312" w:eastAsia="仿宋_GB2312"/>
                <w:sz w:val="24"/>
              </w:rPr>
              <w:t>白水县</w:t>
            </w:r>
          </w:p>
          <w:p>
            <w:pPr>
              <w:pStyle w:val="null3"/>
              <w:ind w:firstLine="482"/>
              <w:jc w:val="both"/>
            </w:pPr>
            <w:r>
              <w:rPr>
                <w:rFonts w:ascii="仿宋_GB2312" w:hAnsi="仿宋_GB2312" w:cs="仿宋_GB2312" w:eastAsia="仿宋_GB2312"/>
                <w:sz w:val="24"/>
                <w:b/>
              </w:rPr>
              <w:t>三、工期：</w:t>
            </w:r>
            <w:r>
              <w:rPr>
                <w:rFonts w:ascii="仿宋_GB2312" w:hAnsi="仿宋_GB2312" w:cs="仿宋_GB2312" w:eastAsia="仿宋_GB2312"/>
                <w:sz w:val="24"/>
              </w:rPr>
              <w:t>合同签订后</w:t>
            </w:r>
            <w:r>
              <w:rPr>
                <w:rFonts w:ascii="仿宋_GB2312" w:hAnsi="仿宋_GB2312" w:cs="仿宋_GB2312" w:eastAsia="仿宋_GB2312"/>
                <w:sz w:val="24"/>
              </w:rPr>
              <w:t>60</w:t>
            </w:r>
            <w:r>
              <w:rPr>
                <w:rFonts w:ascii="仿宋_GB2312" w:hAnsi="仿宋_GB2312" w:cs="仿宋_GB2312" w:eastAsia="仿宋_GB2312"/>
                <w:sz w:val="24"/>
              </w:rPr>
              <w:t>日历天内完成</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四、清单编制中应说明的问题</w:t>
            </w:r>
          </w:p>
          <w:p>
            <w:pPr>
              <w:pStyle w:val="null3"/>
              <w:ind w:firstLine="480"/>
              <w:jc w:val="both"/>
            </w:pPr>
            <w:r>
              <w:rPr>
                <w:rFonts w:ascii="仿宋_GB2312" w:hAnsi="仿宋_GB2312" w:cs="仿宋_GB2312" w:eastAsia="仿宋_GB2312"/>
                <w:sz w:val="24"/>
              </w:rPr>
              <w:t>本工程清单计价表采用广联达计价软件</w:t>
            </w:r>
            <w:r>
              <w:rPr>
                <w:rFonts w:ascii="仿宋_GB2312" w:hAnsi="仿宋_GB2312" w:cs="仿宋_GB2312" w:eastAsia="仿宋_GB2312"/>
                <w:sz w:val="24"/>
              </w:rPr>
              <w:t>GBQ7.0，版 7.5000.23.3</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质量标准：</w:t>
            </w:r>
          </w:p>
          <w:p>
            <w:pPr>
              <w:pStyle w:val="null3"/>
            </w:pPr>
            <w:r>
              <w:rPr>
                <w:rFonts w:ascii="仿宋_GB2312" w:hAnsi="仿宋_GB2312" w:cs="仿宋_GB2312" w:eastAsia="仿宋_GB2312"/>
                <w:sz w:val="24"/>
              </w:rPr>
              <w:t xml:space="preserve">   达到国家现行行业施工验收规范</w:t>
            </w:r>
            <w:r>
              <w:rPr>
                <w:rFonts w:ascii="仿宋_GB2312" w:hAnsi="仿宋_GB2312" w:cs="仿宋_GB2312" w:eastAsia="仿宋_GB2312"/>
                <w:sz w:val="24"/>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供应商须具备市政公用工程施工总承包三级及以上（含三级）资质（或调整后的同等级资质），并具有有效的安全生产许可证；</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供应商拟派项目经理须具备在本单位注册的市政公用工程专业贰级（含贰级）以上注册建造师资质，具备有效的安全生产考核证书B证，且未担任其他在建项目的承诺书；</w:t>
            </w:r>
          </w:p>
        </w:tc>
        <w:tc>
          <w:tcPr>
            <w:tcW w:type="dxa" w:w="1661"/>
          </w:tcPr>
          <w:p>
            <w:pPr>
              <w:pStyle w:val="null3"/>
            </w:pPr>
            <w:r>
              <w:rPr>
                <w:rFonts w:ascii="仿宋_GB2312" w:hAnsi="仿宋_GB2312" w:cs="仿宋_GB2312" w:eastAsia="仿宋_GB2312"/>
              </w:rPr>
              <w:t>2.资质证明文件（参考格式）.docx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已标价工程量清单 1.服务要求响应表.docx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供应商针对本项目提供施工方案，内容包括：①施工准备；②施工方法；③重点难点工程分析及解决措施等。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三、赋分标准（满分12分） ①施工准备：每完全满足一项评审标准得1分，有瑕疵得0.5 分，满分4分； ②施工方法：每完全满足一项评审标准得1分，有瑕疵得0.5 分，满分4分； ③重点难点工程分析及解决措施：每完全满足一项评审标准得1分，有瑕疵得0.5 分，满分4分。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供应商提供针对本项目实际需求编制的确保工期的技术组织措施，内容包含：①工期计划；②关键节点工期分析；③延误工期补救措施。 二、评审标准 1.完整性：内容必须全面，对评审内容中的各项要求有详细描述； 2.可实施性：切合本项目实际情况，提出步骤清晰、合理的方案； 3.针对性：方案能够紧扣项目实际情况，内容科学合理。 三、赋分标准（满分9分） ①工期计划：每完全满足一项评审标准得1分，有瑕疵得0.5 分，满分3分； ②关键节点工期分析：每完全满足一项评审标准得1分，有瑕疵得0.5 分，满分3分； ③延误工期补救措施：每完全满足一项评审标准得1分，有瑕疵得0.5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供应商提供针对本项目实际需求编制的工程质量的技术组织措施，内容包含：①工程质量目标；②施工质量保障措施；③施工质量检验制度。 二、评审标准 1.完整性：内容必须全面，对评审内容中的各项要求有详细描述； 2.可实施性：切合本项目实际情况，提出步骤清晰、合理的方案； 3.针对性：方案能够紧扣项目实际情况，内容科学合理。 三、赋分标准（满分9分） ①工程质量目标：每完全满足一个评审标准得1分，有瑕疵得0.5 分，有缺项漏项得 0 分。满分3分； ②施工质量保障措施：每完全满足一个评审标准得1分，有瑕疵得0.5 分，有缺项漏项得 0 分。满分3分； ③施工质量检验制度：每完全满足一个评审标准得1分，有瑕疵得0.5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一、评审内容 供应商提供针对本项目实际需求编制的确保安全文明施工的技术组织措施及环境保护措施（含治污减霾方案），内容包括：①安全管理体系及文明施工管理制度；②安全标识、安全教育培训、文明施工检查措施；③环境保护控制措施（污染物及废弃物处理、噪音控制、防尘及扬尘的控制措施）。 二、评审标准 1.完整性：内容必须全面，对评审内容中的各项要求有详细描述； 2.可实施性：切合本项目实际情况，提出步骤清晰、合理的方案； 3.针对性：方案能够紧扣项目实际情况，内容科学合理。 三、赋分标准（满分9分） ①安全管理体系及文明施工管理制度：每完全满足一个评审标准得1分，有瑕疵得0.5 分，有缺项漏项得 0 分。满分3分； ②安全标识、安全教育培训、文明施工检查措施：每完全满足一个评审标准得1分，有瑕疵得0.5 分，有缺项漏项得 0 分。满分3分；③环境保护控制措施：每完全满足一个评审标准得1分，有瑕疵得0.5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一、评审内容 供应商提供针对本项目实际需求提供施工机械配备投入计划。 二、评审标准 1.完整性：内容必须全面，对评审内容中的要求有详细描述； 2.可实施性：切合本项目实际情况，提出步骤清晰、合理的方案； 3.针对性：方案能够紧扣项目实际情况，内容科学合理。 三、赋分标准（满分3分） 施工机械配备投入计划：每完全满足一个评审标准得1分，有瑕疵得0.5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供应商提供针对本项目提供应急预案，内容包括但不限于：①突发事件处理；②恶劣天气影响应急预案；③重大活动检查、临检应急预案等。 二、评审标准 1.完整性：内容必须全面，对评审内容中的各项要求有详细描述； 2.可实施性：切合本项目实际情况，提出步骤清晰、合理的方案； 3.针对性：方案能够紧扣项目实际情况，内容科学合理。 三、赋分标准（满分9分） ①突发事件处理：每完全满足一个评审标准得1分，有瑕疵得0.5 分，有缺项漏项得 0 分。满分3分； ②恶劣天气影响应急预案：每完全满足一个评审标准得1分，有瑕疵得0.5 分，有缺项漏项得 0 分。满分3分； ③重大活动检查、临检应急预案等：每完全满足一个评审标准得1分，有瑕疵得0.5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 二、评审标准 1.完整性：内容必须全面，对评审内容中的各项要求有详细描述； 2.可实施性：切合本项目实际情况，提出步骤清晰、合理的方案； 3.针对性：方案能够紧扣项目实际情况，内容科学合理。 三、赋分标准（满分9分） ①验收方案：每完全满足一个评审标准得1分，有瑕疵得0.5 分，有缺项漏项得 0 分。满分3分； ②维保措施：每完全满足一个评审标准得1分，有瑕疵得0.5 分，有缺项漏项得 0 分。满分3分； ③保修责任及保修承诺：每完全满足一个评审标准得1分，有瑕疵得0.5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供应商提供2023年1月起至今类似业绩合同，一个业绩2分（以合同签订时间为准），最高得10分。注：提供合同复印件并加盖单位公章。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 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 4.评审委员会基于专业判断，认为供应商报价过低，有可能影响产品质量或者不能诚信履约的其他情形。 相关法律法规对供应商报价有规定的，从其规定。 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般不少于30分钟。其中，属于第3项情形，供应商已随投标（响应）⽂件⼀并提交相关书⾯说明及必要的证明材料的，在评审现场可不再重复提交。 评审委员会依据专业经验，参考同类项⽬中标（成交）价格、类似产品市场价格⽔平、⾏业⼈⼯费⽤标准、国家有关部⻔指导⾏业协会发布的⾏业平均成本等情况，对报价合理性进⾏判断。投标（响应 ）供应商不能提供书⾯说明、证明材料，或者提供的书⾯说明、证明材料不能证明其报价合理性的，评审委员会应当将其作为⽆效投标（响应）处理。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详见附件：1.服务要求响应表.docx</w:t>
      </w:r>
    </w:p>
    <w:p>
      <w:pPr>
        <w:pStyle w:val="null3"/>
        <w:ind w:firstLine="960"/>
      </w:pPr>
      <w:r>
        <w:rPr>
          <w:rFonts w:ascii="仿宋_GB2312" w:hAnsi="仿宋_GB2312" w:cs="仿宋_GB2312" w:eastAsia="仿宋_GB2312"/>
        </w:rPr>
        <w:t>详见附件：2.资质证明文件（参考格式）.docx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