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版本号：SXJN-ZC-20260700920260707002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主序厅设备修复</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SXJN-ZC-202607009</w:t>
      </w:r>
      <w:r>
        <w:br/>
      </w:r>
      <w:r>
        <w:br/>
      </w:r>
      <w:r>
        <w:br/>
      </w:r>
    </w:p>
    <w:p>
      <w:pPr>
        <w:pStyle w:val="null3"/>
        <w:jc w:val="center"/>
        <w:outlineLvl w:val="2"/>
      </w:pPr>
      <w:r>
        <w:rPr>
          <w:rFonts w:ascii="仿宋_GB2312" w:hAnsi="仿宋_GB2312" w:cs="仿宋_GB2312" w:eastAsia="仿宋_GB2312"/>
          <w:sz w:val="28"/>
          <w:b/>
        </w:rPr>
        <w:t>陕甘边革命根据地照金纪念馆</w:t>
      </w:r>
    </w:p>
    <w:p>
      <w:pPr>
        <w:pStyle w:val="null3"/>
        <w:jc w:val="center"/>
        <w:outlineLvl w:val="2"/>
      </w:pPr>
      <w:r>
        <w:rPr>
          <w:rFonts w:ascii="仿宋_GB2312" w:hAnsi="仿宋_GB2312" w:cs="仿宋_GB2312" w:eastAsia="仿宋_GB2312"/>
          <w:sz w:val="28"/>
          <w:b/>
        </w:rPr>
        <w:t>陕西杰诺招标有限公司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陕西杰诺招标有限公司</w:t>
      </w:r>
      <w:r>
        <w:rPr>
          <w:rFonts w:ascii="仿宋_GB2312" w:hAnsi="仿宋_GB2312" w:cs="仿宋_GB2312" w:eastAsia="仿宋_GB2312"/>
        </w:rPr>
        <w:t>（以下简称“代理机构”）受</w:t>
      </w:r>
      <w:r>
        <w:rPr>
          <w:rFonts w:ascii="仿宋_GB2312" w:hAnsi="仿宋_GB2312" w:cs="仿宋_GB2312" w:eastAsia="仿宋_GB2312"/>
        </w:rPr>
        <w:t>陕甘边革命根据地照金纪念馆</w:t>
      </w:r>
      <w:r>
        <w:rPr>
          <w:rFonts w:ascii="仿宋_GB2312" w:hAnsi="仿宋_GB2312" w:cs="仿宋_GB2312" w:eastAsia="仿宋_GB2312"/>
        </w:rPr>
        <w:t>委托，拟对</w:t>
      </w:r>
      <w:r>
        <w:rPr>
          <w:rFonts w:ascii="仿宋_GB2312" w:hAnsi="仿宋_GB2312" w:cs="仿宋_GB2312" w:eastAsia="仿宋_GB2312"/>
        </w:rPr>
        <w:t>主序厅设备修复</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SXJN-ZC-202607009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主序厅设备修复</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旨在对照金纪念馆主序厅进行设备修复，以解决设备老化、技术落后及展示效果不佳等问题，全面提升纪念馆的数字化展示水平与参观体验。项目建设内容涵盖主序厅核心投影系统的修复与升级。本次采购要求供应商不仅提供符合工业级标准的硬件设备，还需具备专业的系统集成能力，确保从旧设备拆除、新设备安装调试到后期运维保障的全流程服务质量，打造庄重、清晰、稳定的红色文化展示空间。</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采购包1（主序厅设备修复）：属于专门面向小微企业采购。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2、供应商身份证明文件：法定代表人授权书，法定代表人直接参加磋商，须提供法定代表人身份证明及身份证复印件；</w:t>
      </w:r>
    </w:p>
    <w:p>
      <w:pPr>
        <w:pStyle w:val="null3"/>
      </w:pPr>
      <w:r>
        <w:rPr>
          <w:rFonts w:ascii="仿宋_GB2312" w:hAnsi="仿宋_GB2312" w:cs="仿宋_GB2312" w:eastAsia="仿宋_GB2312"/>
        </w:rPr>
        <w:t>3、书面声明：供应商应具备良好的商业信誉，提供参加政府采购活动前3年内在经营活动中没有重大违法记录的书面声明；</w:t>
      </w:r>
    </w:p>
    <w:p>
      <w:pPr>
        <w:pStyle w:val="null3"/>
      </w:pPr>
      <w:r>
        <w:rPr>
          <w:rFonts w:ascii="仿宋_GB2312" w:hAnsi="仿宋_GB2312" w:cs="仿宋_GB2312" w:eastAsia="仿宋_GB2312"/>
        </w:rPr>
        <w:t>4、具备履行合同所必需的设备和专业技术能力的证明材料：由供应商根据项目需求提供说明材料或者承诺</w:t>
      </w:r>
    </w:p>
    <w:p>
      <w:pPr>
        <w:pStyle w:val="null3"/>
      </w:pPr>
      <w:r>
        <w:rPr>
          <w:rFonts w:ascii="仿宋_GB2312" w:hAnsi="仿宋_GB2312" w:cs="仿宋_GB2312" w:eastAsia="仿宋_GB2312"/>
        </w:rPr>
        <w:t>5、财务状况报告：提供2024年或2025年度的经审计的完整财务会计报告（成立时间至提交磋商文件截止时间不足一年的可提供成立后任意时段的资产负债表），或其基本存款账户开户银行出具的资信证明及基本存款账户开户许可证（基本账户信息表）</w:t>
      </w:r>
    </w:p>
    <w:p>
      <w:pPr>
        <w:pStyle w:val="null3"/>
      </w:pPr>
      <w:r>
        <w:rPr>
          <w:rFonts w:ascii="仿宋_GB2312" w:hAnsi="仿宋_GB2312" w:cs="仿宋_GB2312" w:eastAsia="仿宋_GB2312"/>
        </w:rPr>
        <w:t>6、社会保障资金缴纳证明：提供磋商截止日前六个月内任意一个月的社保资金交纳证明，依法不需要缴纳社保资金的单位提供相关证明材料；</w:t>
      </w:r>
    </w:p>
    <w:p>
      <w:pPr>
        <w:pStyle w:val="null3"/>
      </w:pPr>
      <w:r>
        <w:rPr>
          <w:rFonts w:ascii="仿宋_GB2312" w:hAnsi="仿宋_GB2312" w:cs="仿宋_GB2312" w:eastAsia="仿宋_GB2312"/>
        </w:rPr>
        <w:t>7、税收缴纳证明：提供磋商截止日前六个月内任意一个月的纳税证明或完税证明，依法免税的单位提供相关证明材料</w:t>
      </w:r>
    </w:p>
    <w:p>
      <w:pPr>
        <w:pStyle w:val="null3"/>
      </w:pPr>
      <w:r>
        <w:rPr>
          <w:rFonts w:ascii="仿宋_GB2312" w:hAnsi="仿宋_GB2312" w:cs="仿宋_GB2312" w:eastAsia="仿宋_GB2312"/>
        </w:rPr>
        <w:t>8、信誉要求：未在“信用中国”网站（www.creditchina.gov.cn）和“中国政府采购网”（ccgp.gov.cn）列入严重失信主体、重大税收违法案件当事人名单、政府采购严重违法失信行为记录名单；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陕甘边革命根据地照金纪念馆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陕西省铜川市耀州区照金镇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陕甘边革命根据地照金纪念馆经办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0919-3589086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陕西杰诺招标有限公司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陕西省西安市未央区凤城九路中登文景大厦B座7楼701室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shanxijienuo@126.com</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毛雪婷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029-86181701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采购包1：564,800.00元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中华人民共和国发展和改革委员会《调整后的招标代理服务收费标准》(发改价格〔2011〕534号)规定的收费标准收取。中标人在领取中标通知书的同时，向乙方交纳本项目招标代理服务费。招标代理服务费低于伍仟元的，按照伍仟元定额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陕甘边革命根据地照金纪念馆</w:t>
      </w:r>
      <w:r>
        <w:rPr>
          <w:rFonts w:ascii="仿宋_GB2312" w:hAnsi="仿宋_GB2312" w:cs="仿宋_GB2312" w:eastAsia="仿宋_GB2312"/>
        </w:rPr>
        <w:t>和</w:t>
      </w:r>
      <w:r>
        <w:rPr>
          <w:rFonts w:ascii="仿宋_GB2312" w:hAnsi="仿宋_GB2312" w:cs="仿宋_GB2312" w:eastAsia="仿宋_GB2312"/>
        </w:rPr>
        <w:t>陕西杰诺招标有限公司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陕甘边革命根据地照金纪念馆</w:t>
      </w:r>
      <w:r>
        <w:rPr>
          <w:rFonts w:ascii="仿宋_GB2312" w:hAnsi="仿宋_GB2312" w:cs="仿宋_GB2312" w:eastAsia="仿宋_GB2312"/>
        </w:rPr>
        <w:t>负责解释。除上述磋商文件内容，其他内容由</w:t>
      </w:r>
      <w:r>
        <w:rPr>
          <w:rFonts w:ascii="仿宋_GB2312" w:hAnsi="仿宋_GB2312" w:cs="仿宋_GB2312" w:eastAsia="仿宋_GB2312"/>
        </w:rPr>
        <w:t>陕西杰诺招标有限公司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陕甘边革命根据地照金纪念馆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陕西杰诺招标有限公司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满足采购需求的同时并符合国家或行业相关标准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陕西杰诺招标有限公司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陕西杰诺招标有限公司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陕西杰诺招标有限公司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联系人：毛雪婷</w:t>
      </w:r>
    </w:p>
    <w:p>
      <w:pPr>
        <w:pStyle w:val="null3"/>
      </w:pPr>
      <w:r>
        <w:rPr>
          <w:rFonts w:ascii="仿宋_GB2312" w:hAnsi="仿宋_GB2312" w:cs="仿宋_GB2312" w:eastAsia="仿宋_GB2312"/>
        </w:rPr>
        <w:t>联系电话：029-86181701</w:t>
      </w:r>
    </w:p>
    <w:p>
      <w:pPr>
        <w:pStyle w:val="null3"/>
      </w:pPr>
      <w:r>
        <w:rPr>
          <w:rFonts w:ascii="仿宋_GB2312" w:hAnsi="仿宋_GB2312" w:cs="仿宋_GB2312" w:eastAsia="仿宋_GB2312"/>
        </w:rPr>
        <w:t>地址：陕西省西安市未央区凤城九路中登文景大厦B座7楼701室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旨在对照金纪念馆主序厅进行设备修复，以解决设备老化、技术落后及展示效果不佳等问题，全面提升纪念馆的数字化展示水平与参观体验。项目建设内容涵盖主序厅核心投影系统的修复与升级。本次采购要求供应商不仅提供符合工业级标准的硬件设备，还需具备专业的系统集成能力，确保从旧设备拆除、新设备安装调试到后期运维保障的全流程服务质量，打造庄重、清晰、稳定的红色文化展示空间。</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564,800.00</w:t>
      </w:r>
    </w:p>
    <w:p>
      <w:pPr>
        <w:pStyle w:val="null3"/>
      </w:pPr>
      <w:r>
        <w:rPr>
          <w:rFonts w:ascii="仿宋_GB2312" w:hAnsi="仿宋_GB2312" w:cs="仿宋_GB2312" w:eastAsia="仿宋_GB2312"/>
        </w:rPr>
        <w:t>采购包最高限价（元）: 564,800.00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主序厅设备修复</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564,800.00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标的名称：主序厅设备修复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95"/>
              <w:jc w:val="left"/>
              <w:outlineLvl w:val="1"/>
            </w:pPr>
            <w:r>
              <w:rPr>
                <w:rFonts w:ascii="仿宋_GB2312" w:hAnsi="仿宋_GB2312" w:cs="仿宋_GB2312" w:eastAsia="仿宋_GB2312"/>
                <w:sz w:val="28"/>
                <w:b/>
                <w:color w:val="000000"/>
              </w:rPr>
              <w:t>（</w:t>
            </w:r>
            <w:r>
              <w:rPr>
                <w:rFonts w:ascii="仿宋_GB2312" w:hAnsi="仿宋_GB2312" w:cs="仿宋_GB2312" w:eastAsia="仿宋_GB2312"/>
                <w:sz w:val="28"/>
                <w:b/>
                <w:color w:val="000000"/>
              </w:rPr>
              <w:t>一</w:t>
            </w:r>
            <w:r>
              <w:rPr>
                <w:rFonts w:ascii="仿宋_GB2312" w:hAnsi="仿宋_GB2312" w:cs="仿宋_GB2312" w:eastAsia="仿宋_GB2312"/>
                <w:sz w:val="28"/>
                <w:b/>
                <w:color w:val="000000"/>
              </w:rPr>
              <w:t>）主序厅设备修复与系统升级</w:t>
            </w:r>
          </w:p>
          <w:p>
            <w:pPr>
              <w:pStyle w:val="null3"/>
              <w:ind w:firstLine="480"/>
              <w:jc w:val="both"/>
            </w:pPr>
            <w:r>
              <w:rPr>
                <w:rFonts w:ascii="仿宋_GB2312" w:hAnsi="仿宋_GB2312" w:cs="仿宋_GB2312" w:eastAsia="仿宋_GB2312"/>
                <w:sz w:val="24"/>
              </w:rPr>
              <w:t>主序厅作为纪念馆的核心区域，其投影融合系统与视频内容的呈现效果直接关系到教育宣传的质量，需进行高精度修复与软件升级。</w:t>
            </w:r>
          </w:p>
          <w:p>
            <w:pPr>
              <w:pStyle w:val="null3"/>
              <w:ind w:left="435"/>
              <w:jc w:val="both"/>
            </w:pP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4"/>
                <w:b/>
              </w:rPr>
              <w:t>软件系统与内容制作</w:t>
            </w:r>
          </w:p>
          <w:p>
            <w:pPr>
              <w:pStyle w:val="null3"/>
              <w:numPr>
                <w:ilvl w:val="1"/>
                <w:numId w:val="1"/>
              </w:numPr>
            </w:pPr>
            <w:r>
              <w:rPr>
                <w:rFonts w:ascii="仿宋_GB2312" w:hAnsi="仿宋_GB2312" w:cs="仿宋_GB2312" w:eastAsia="仿宋_GB2312"/>
                <w:sz w:val="24"/>
                <w:b/>
              </w:rPr>
              <w:t>异形调整软件</w:t>
            </w:r>
            <w:r>
              <w:rPr>
                <w:rFonts w:ascii="仿宋_GB2312" w:hAnsi="仿宋_GB2312" w:cs="仿宋_GB2312" w:eastAsia="仿宋_GB2312"/>
                <w:sz w:val="24"/>
              </w:rPr>
              <w:t>：</w:t>
            </w:r>
            <w:r>
              <w:rPr>
                <w:rFonts w:ascii="仿宋_GB2312" w:hAnsi="仿宋_GB2312" w:cs="仿宋_GB2312" w:eastAsia="仿宋_GB2312"/>
                <w:sz w:val="24"/>
              </w:rPr>
              <w:t>1 套。</w:t>
            </w:r>
            <w:r>
              <w:rPr>
                <w:rFonts w:ascii="仿宋_GB2312" w:hAnsi="仿宋_GB2312" w:cs="仿宋_GB2312" w:eastAsia="仿宋_GB2312"/>
                <w:sz w:val="24"/>
              </w:rPr>
              <w:t>支持与本次购置的投影仪、视频服务器无缝对接，兼容主流视频格式（</w:t>
            </w:r>
            <w:r>
              <w:rPr>
                <w:rFonts w:ascii="仿宋_GB2312" w:hAnsi="仿宋_GB2312" w:cs="仿宋_GB2312" w:eastAsia="仿宋_GB2312"/>
                <w:sz w:val="24"/>
              </w:rPr>
              <w:t>MP4、AVI、MOV、WMV等），支持分辨率自适应（最高适配4K超清，兼容1080P、720P等常用分辨率），响应延迟≤50ms，确保操作调整实时同步，无画面卡顿、拖影现象。支持任意异形画面矫正（含不规则多边形、弧形、拼接式异形等），矫正精度≤0.1像素，可实现多区域分区矫正、边缘羽化（羽化范围0-50像素可调），消除拼接缝隙及画面畸变。</w:t>
            </w:r>
          </w:p>
          <w:p>
            <w:pPr>
              <w:pStyle w:val="null3"/>
              <w:numPr>
                <w:ilvl w:val="1"/>
                <w:numId w:val="1"/>
              </w:numPr>
              <w:jc w:val="both"/>
            </w:pPr>
            <w:r>
              <w:rPr>
                <w:rFonts w:ascii="仿宋_GB2312" w:hAnsi="仿宋_GB2312" w:cs="仿宋_GB2312" w:eastAsia="仿宋_GB2312"/>
                <w:sz w:val="24"/>
                <w:b/>
              </w:rPr>
              <w:t>视频内容制作</w:t>
            </w:r>
            <w:r>
              <w:rPr>
                <w:rFonts w:ascii="仿宋_GB2312" w:hAnsi="仿宋_GB2312" w:cs="仿宋_GB2312" w:eastAsia="仿宋_GB2312"/>
                <w:sz w:val="24"/>
              </w:rPr>
              <w:t>：时长</w:t>
            </w:r>
            <w:r>
              <w:rPr>
                <w:rFonts w:ascii="仿宋_GB2312" w:hAnsi="仿宋_GB2312" w:cs="仿宋_GB2312" w:eastAsia="仿宋_GB2312"/>
                <w:sz w:val="24"/>
              </w:rPr>
              <w:t>2.55分钟。</w:t>
            </w:r>
            <w:r>
              <w:rPr>
                <w:rFonts w:ascii="仿宋_GB2312" w:hAnsi="仿宋_GB2312" w:cs="仿宋_GB2312" w:eastAsia="仿宋_GB2312"/>
                <w:sz w:val="24"/>
              </w:rPr>
              <w:t>视频内容需贴合主序厅展示主题，节奏紧凑、逻辑清晰，包含开篇引入、核心内容呈现、结尾收尾三个模块，画面切换流畅（切换时长</w:t>
            </w:r>
            <w:r>
              <w:rPr>
                <w:rFonts w:ascii="仿宋_GB2312" w:hAnsi="仿宋_GB2312" w:cs="仿宋_GB2312" w:eastAsia="仿宋_GB2312"/>
                <w:sz w:val="24"/>
              </w:rPr>
              <w:t>0.3-0.5秒，无卡顿、无黑屏）；文字信息采用清晰易读字体，字体大小适配异形屏幕，确保远距离可清晰识别，文字颜色与背景对比鲜明，避免反光、模糊；可融入动态元素（如动画特效、场景过渡效果），特效风格贴合主题，不喧宾夺主，特效渲染分辨率与视频分辨率一致，无锯齿、无拖影。</w:t>
            </w:r>
            <w:r>
              <w:rPr>
                <w:rFonts w:ascii="仿宋_GB2312" w:hAnsi="仿宋_GB2312" w:cs="仿宋_GB2312" w:eastAsia="仿宋_GB2312"/>
                <w:sz w:val="24"/>
              </w:rPr>
              <w:t>音效环绕立体声。制作过程需包含脚本策划、素材修复、特效合成及最终渲染，确保政治导向正确、史实准确、感染力强。</w:t>
            </w:r>
            <w:r>
              <w:rPr>
                <w:rFonts w:ascii="仿宋_GB2312" w:hAnsi="仿宋_GB2312" w:cs="仿宋_GB2312" w:eastAsia="仿宋_GB2312"/>
                <w:sz w:val="24"/>
              </w:rPr>
              <w:t>分辨率</w:t>
            </w:r>
            <w:r>
              <w:rPr>
                <w:rFonts w:ascii="仿宋_GB2312" w:hAnsi="仿宋_GB2312" w:cs="仿宋_GB2312" w:eastAsia="仿宋_GB2312"/>
                <w:sz w:val="24"/>
              </w:rPr>
              <w:t>≥4K（3840×2160），帧率25fps，画面切换流畅，画面比例适配主序厅异形屏幕（可根据异形调整软件参数同步调整，支持非标准比例定制），视频码率≥15Mbps，确保画面细节清晰、无模糊、无锯齿。视频制作完成后，需配合异形调整软件进行画面校准，根据矫正参数调整视频画面布局，确保画面与异形屏幕完全贴合，无边缘裁切、无畸变；提供视频源文件及编辑工程文件，便于后期根据展示需求修改内容、调整参数，支持重新导出适配不同场景的版本。</w:t>
            </w:r>
          </w:p>
          <w:p>
            <w:pPr>
              <w:pStyle w:val="null3"/>
              <w:ind w:left="435"/>
              <w:jc w:val="both"/>
            </w:pP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4"/>
                <w:b/>
              </w:rPr>
              <w:t>系统调试要求</w:t>
            </w:r>
          </w:p>
          <w:p>
            <w:pPr>
              <w:pStyle w:val="null3"/>
              <w:numPr>
                <w:ilvl w:val="1"/>
                <w:numId w:val="1"/>
              </w:numPr>
            </w:pPr>
            <w:r>
              <w:rPr>
                <w:rFonts w:ascii="仿宋_GB2312" w:hAnsi="仿宋_GB2312" w:cs="仿宋_GB2312" w:eastAsia="仿宋_GB2312"/>
                <w:sz w:val="24"/>
                <w:b/>
              </w:rPr>
              <w:t>视频对位调整</w:t>
            </w:r>
            <w:r>
              <w:rPr>
                <w:rFonts w:ascii="仿宋_GB2312" w:hAnsi="仿宋_GB2312" w:cs="仿宋_GB2312" w:eastAsia="仿宋_GB2312"/>
                <w:sz w:val="24"/>
              </w:rPr>
              <w:t>：利用专业仪器进行像素级对齐，消除拼缝痕迹，确保画面几何形状精准贴合投影面。</w:t>
            </w:r>
          </w:p>
          <w:p>
            <w:pPr>
              <w:pStyle w:val="null3"/>
              <w:numPr>
                <w:ilvl w:val="1"/>
                <w:numId w:val="1"/>
              </w:numPr>
              <w:jc w:val="both"/>
            </w:pPr>
            <w:r>
              <w:rPr>
                <w:rFonts w:ascii="仿宋_GB2312" w:hAnsi="仿宋_GB2312" w:cs="仿宋_GB2312" w:eastAsia="仿宋_GB2312"/>
                <w:sz w:val="24"/>
                <w:b/>
              </w:rPr>
              <w:t>音视频效果调试</w:t>
            </w:r>
            <w:r>
              <w:rPr>
                <w:rFonts w:ascii="仿宋_GB2312" w:hAnsi="仿宋_GB2312" w:cs="仿宋_GB2312" w:eastAsia="仿宋_GB2312"/>
                <w:sz w:val="24"/>
              </w:rPr>
              <w:t>：优化音响系统布局，消除回声与啸叫，确保语音清晰度高；调整投影色彩曲线，使画面色调庄重、层次丰富。</w:t>
            </w:r>
          </w:p>
          <w:p>
            <w:pPr>
              <w:pStyle w:val="null3"/>
              <w:numPr>
                <w:ilvl w:val="1"/>
                <w:numId w:val="1"/>
              </w:numPr>
              <w:jc w:val="both"/>
            </w:pPr>
            <w:r>
              <w:rPr>
                <w:rFonts w:ascii="仿宋_GB2312" w:hAnsi="仿宋_GB2312" w:cs="仿宋_GB2312" w:eastAsia="仿宋_GB2312"/>
                <w:sz w:val="24"/>
                <w:b/>
              </w:rPr>
              <w:t>联动测试</w:t>
            </w:r>
            <w:r>
              <w:rPr>
                <w:rFonts w:ascii="仿宋_GB2312" w:hAnsi="仿宋_GB2312" w:cs="仿宋_GB2312" w:eastAsia="仿宋_GB2312"/>
                <w:sz w:val="24"/>
              </w:rPr>
              <w:t>：实现软硬件一键启动与关闭，系统故障自动报警功能。</w:t>
            </w:r>
          </w:p>
          <w:p>
            <w:pPr>
              <w:pStyle w:val="null3"/>
              <w:ind w:left="435"/>
              <w:jc w:val="both"/>
            </w:pP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4"/>
                <w:b/>
              </w:rPr>
              <w:t>核心硬件购置与安装</w:t>
            </w:r>
          </w:p>
          <w:p>
            <w:pPr>
              <w:pStyle w:val="null3"/>
              <w:numPr>
                <w:ilvl w:val="1"/>
                <w:numId w:val="1"/>
              </w:numPr>
            </w:pPr>
            <w:r>
              <w:rPr>
                <w:rFonts w:ascii="仿宋_GB2312" w:hAnsi="仿宋_GB2312" w:cs="仿宋_GB2312" w:eastAsia="仿宋_GB2312"/>
                <w:sz w:val="24"/>
                <w:b/>
              </w:rPr>
              <w:t>投影仪</w:t>
            </w:r>
            <w:r>
              <w:rPr>
                <w:rFonts w:ascii="仿宋_GB2312" w:hAnsi="仿宋_GB2312" w:cs="仿宋_GB2312" w:eastAsia="仿宋_GB2312"/>
                <w:sz w:val="24"/>
              </w:rPr>
              <w:t>：</w:t>
            </w:r>
            <w:r>
              <w:rPr>
                <w:rFonts w:ascii="仿宋_GB2312" w:hAnsi="仿宋_GB2312" w:cs="仿宋_GB2312" w:eastAsia="仿宋_GB2312"/>
                <w:sz w:val="24"/>
              </w:rPr>
              <w:t>1台。要求中心亮度≥30000流明，分辨率≥1920×1200，支持4K分辨率</w:t>
            </w:r>
            <w:r>
              <w:rPr>
                <w:rFonts w:ascii="仿宋_GB2312" w:hAnsi="仿宋_GB2312" w:cs="仿宋_GB2312" w:eastAsia="仿宋_GB2312"/>
                <w:sz w:val="24"/>
              </w:rPr>
              <w:t>，拒绝激光</w:t>
            </w:r>
            <w:r>
              <w:rPr>
                <w:rFonts w:ascii="仿宋_GB2312" w:hAnsi="仿宋_GB2312" w:cs="仿宋_GB2312" w:eastAsia="仿宋_GB2312"/>
                <w:sz w:val="24"/>
              </w:rPr>
              <w:t>+LED混合光源，光源寿命≥20000小时。</w:t>
            </w:r>
            <w:r>
              <w:rPr>
                <w:rFonts w:ascii="仿宋_GB2312" w:hAnsi="仿宋_GB2312" w:cs="仿宋_GB2312" w:eastAsia="仿宋_GB2312"/>
                <w:sz w:val="24"/>
              </w:rPr>
              <w:t>具备边缘融合功能接口，镜头移位范围大，适应异形投影需求。</w:t>
            </w:r>
          </w:p>
          <w:p>
            <w:pPr>
              <w:pStyle w:val="null3"/>
              <w:numPr>
                <w:ilvl w:val="1"/>
                <w:numId w:val="1"/>
              </w:numPr>
              <w:jc w:val="both"/>
            </w:pPr>
            <w:r>
              <w:rPr>
                <w:rFonts w:ascii="仿宋_GB2312" w:hAnsi="仿宋_GB2312" w:cs="仿宋_GB2312" w:eastAsia="仿宋_GB2312"/>
                <w:sz w:val="24"/>
                <w:b/>
              </w:rPr>
              <w:t>专业投影镜头</w:t>
            </w:r>
            <w:r>
              <w:rPr>
                <w:rFonts w:ascii="仿宋_GB2312" w:hAnsi="仿宋_GB2312" w:cs="仿宋_GB2312" w:eastAsia="仿宋_GB2312"/>
                <w:sz w:val="24"/>
              </w:rPr>
              <w:t>：</w:t>
            </w:r>
            <w:r>
              <w:rPr>
                <w:rFonts w:ascii="仿宋_GB2312" w:hAnsi="仿宋_GB2312" w:cs="仿宋_GB2312" w:eastAsia="仿宋_GB2312"/>
                <w:sz w:val="24"/>
              </w:rPr>
              <w:t>1台。根据现场投射距离与画面尺寸定制焦距，确保画面满屏且无畸变，光圈可调以适应不同场景亮度。</w:t>
            </w:r>
          </w:p>
          <w:p>
            <w:pPr>
              <w:pStyle w:val="null3"/>
              <w:numPr>
                <w:ilvl w:val="1"/>
                <w:numId w:val="1"/>
              </w:numPr>
              <w:jc w:val="both"/>
            </w:pPr>
            <w:r>
              <w:rPr>
                <w:rFonts w:ascii="仿宋_GB2312" w:hAnsi="仿宋_GB2312" w:cs="仿宋_GB2312" w:eastAsia="仿宋_GB2312"/>
                <w:sz w:val="24"/>
                <w:b/>
              </w:rPr>
              <w:t>光纤收发器</w:t>
            </w:r>
            <w:r>
              <w:rPr>
                <w:rFonts w:ascii="仿宋_GB2312" w:hAnsi="仿宋_GB2312" w:cs="仿宋_GB2312" w:eastAsia="仿宋_GB2312"/>
                <w:sz w:val="24"/>
              </w:rPr>
              <w:t>：</w:t>
            </w:r>
            <w:r>
              <w:rPr>
                <w:rFonts w:ascii="仿宋_GB2312" w:hAnsi="仿宋_GB2312" w:cs="仿宋_GB2312" w:eastAsia="仿宋_GB2312"/>
                <w:sz w:val="24"/>
              </w:rPr>
              <w:t>1对。支持千兆传输，确保视频服务器至投影仪之间长距离信号传输的低延迟与零损耗，抗电磁干扰能力强。</w:t>
            </w:r>
          </w:p>
          <w:p>
            <w:pPr>
              <w:pStyle w:val="null3"/>
              <w:numPr>
                <w:ilvl w:val="1"/>
                <w:numId w:val="1"/>
              </w:numPr>
              <w:jc w:val="both"/>
            </w:pPr>
            <w:r>
              <w:rPr>
                <w:rFonts w:ascii="仿宋_GB2312" w:hAnsi="仿宋_GB2312" w:cs="仿宋_GB2312" w:eastAsia="仿宋_GB2312"/>
                <w:sz w:val="24"/>
                <w:b/>
              </w:rPr>
              <w:t>视频服务器</w:t>
            </w:r>
            <w:r>
              <w:rPr>
                <w:rFonts w:ascii="仿宋_GB2312" w:hAnsi="仿宋_GB2312" w:cs="仿宋_GB2312" w:eastAsia="仿宋_GB2312"/>
                <w:sz w:val="24"/>
              </w:rPr>
              <w:t>：</w:t>
            </w:r>
            <w:r>
              <w:rPr>
                <w:rFonts w:ascii="仿宋_GB2312" w:hAnsi="仿宋_GB2312" w:cs="仿宋_GB2312" w:eastAsia="仿宋_GB2312"/>
                <w:sz w:val="24"/>
              </w:rPr>
              <w:t>1台。配置独立显卡，支持多通道输出，具备强大的实时渲染能力，用于驱动异形投影融合软件，支持7×24小时稳定运行。</w:t>
            </w:r>
          </w:p>
          <w:p>
            <w:pPr>
              <w:pStyle w:val="null3"/>
              <w:spacing w:before="195"/>
              <w:jc w:val="left"/>
              <w:outlineLvl w:val="1"/>
            </w:pPr>
            <w:r>
              <w:rPr>
                <w:rFonts w:ascii="仿宋_GB2312" w:hAnsi="仿宋_GB2312" w:cs="仿宋_GB2312" w:eastAsia="仿宋_GB2312"/>
                <w:sz w:val="28"/>
                <w:b/>
                <w:color w:val="000000"/>
              </w:rPr>
              <w:t>（二）售后服务与运维保障</w:t>
            </w:r>
          </w:p>
          <w:p>
            <w:pPr>
              <w:pStyle w:val="null3"/>
              <w:numPr>
                <w:ilvl w:val="0"/>
                <w:numId w:val="1"/>
              </w:numPr>
              <w:jc w:val="both"/>
            </w:pPr>
            <w:r>
              <w:rPr>
                <w:rFonts w:ascii="仿宋_GB2312" w:hAnsi="仿宋_GB2312" w:cs="仿宋_GB2312" w:eastAsia="仿宋_GB2312"/>
                <w:sz w:val="24"/>
                <w:b/>
              </w:rPr>
              <w:t>质保期要求</w:t>
            </w:r>
            <w:r>
              <w:rPr>
                <w:rFonts w:ascii="仿宋_GB2312" w:hAnsi="仿宋_GB2312" w:cs="仿宋_GB2312" w:eastAsia="仿宋_GB2312"/>
                <w:sz w:val="24"/>
              </w:rPr>
              <w:t>：所有硬件设备提供不少于</w:t>
            </w:r>
            <w:r>
              <w:rPr>
                <w:rFonts w:ascii="仿宋_GB2312" w:hAnsi="仿宋_GB2312" w:cs="仿宋_GB2312" w:eastAsia="仿宋_GB2312"/>
                <w:sz w:val="24"/>
              </w:rPr>
              <w:t>1</w:t>
            </w:r>
            <w:r>
              <w:rPr>
                <w:rFonts w:ascii="仿宋_GB2312" w:hAnsi="仿宋_GB2312" w:cs="仿宋_GB2312" w:eastAsia="仿宋_GB2312"/>
                <w:sz w:val="24"/>
              </w:rPr>
              <w:t xml:space="preserve"> </w:t>
            </w:r>
            <w:r>
              <w:rPr>
                <w:rFonts w:ascii="仿宋_GB2312" w:hAnsi="仿宋_GB2312" w:cs="仿宋_GB2312" w:eastAsia="仿宋_GB2312"/>
                <w:sz w:val="24"/>
              </w:rPr>
              <w:t>年的免费质保服务，软件系统提供终身免费升级与维护。</w:t>
            </w:r>
          </w:p>
          <w:p>
            <w:pPr>
              <w:pStyle w:val="null3"/>
              <w:numPr>
                <w:ilvl w:val="0"/>
                <w:numId w:val="1"/>
              </w:numPr>
              <w:jc w:val="both"/>
            </w:pPr>
            <w:r>
              <w:rPr>
                <w:rFonts w:ascii="仿宋_GB2312" w:hAnsi="仿宋_GB2312" w:cs="仿宋_GB2312" w:eastAsia="仿宋_GB2312"/>
                <w:sz w:val="24"/>
                <w:b/>
              </w:rPr>
              <w:t>应急响应机制</w:t>
            </w:r>
            <w:r>
              <w:rPr>
                <w:rFonts w:ascii="仿宋_GB2312" w:hAnsi="仿宋_GB2312" w:cs="仿宋_GB2312" w:eastAsia="仿宋_GB2312"/>
                <w:sz w:val="24"/>
              </w:rPr>
              <w:t>：建立</w:t>
            </w:r>
            <w:r>
              <w:rPr>
                <w:rFonts w:ascii="仿宋_GB2312" w:hAnsi="仿宋_GB2312" w:cs="仿宋_GB2312" w:eastAsia="仿宋_GB2312"/>
                <w:sz w:val="24"/>
              </w:rPr>
              <w:t>24 小时响应机制，接到故障报修后 2 小时内响应，24 小时内到达现场解决问题。</w:t>
            </w:r>
          </w:p>
          <w:p>
            <w:pPr>
              <w:pStyle w:val="null3"/>
              <w:numPr>
                <w:ilvl w:val="0"/>
                <w:numId w:val="1"/>
              </w:numPr>
              <w:jc w:val="both"/>
            </w:pPr>
            <w:r>
              <w:rPr>
                <w:rFonts w:ascii="仿宋_GB2312" w:hAnsi="仿宋_GB2312" w:cs="仿宋_GB2312" w:eastAsia="仿宋_GB2312"/>
                <w:sz w:val="24"/>
                <w:b/>
              </w:rPr>
              <w:t>重大节假日值班制度：</w:t>
            </w:r>
            <w:r>
              <w:rPr>
                <w:rFonts w:ascii="仿宋_GB2312" w:hAnsi="仿宋_GB2312" w:cs="仿宋_GB2312" w:eastAsia="仿宋_GB2312"/>
                <w:sz w:val="24"/>
              </w:rPr>
              <w:t>对于重大活动或重要节假日，供应商需派遣专业技术人员驻场值班，提供全程技术保障，确保展览系统零故障运行。</w:t>
            </w:r>
          </w:p>
          <w:p>
            <w:pPr>
              <w:pStyle w:val="null3"/>
              <w:numPr>
                <w:ilvl w:val="0"/>
                <w:numId w:val="1"/>
              </w:numPr>
              <w:jc w:val="both"/>
            </w:pPr>
            <w:r>
              <w:rPr>
                <w:rFonts w:ascii="仿宋_GB2312" w:hAnsi="仿宋_GB2312" w:cs="仿宋_GB2312" w:eastAsia="仿宋_GB2312"/>
                <w:sz w:val="24"/>
                <w:b/>
              </w:rPr>
              <w:t>定期巡检</w:t>
            </w:r>
            <w:r>
              <w:rPr>
                <w:rFonts w:ascii="仿宋_GB2312" w:hAnsi="仿宋_GB2312" w:cs="仿宋_GB2312" w:eastAsia="仿宋_GB2312"/>
                <w:sz w:val="24"/>
              </w:rPr>
              <w:t>：每</w:t>
            </w:r>
            <w:r>
              <w:rPr>
                <w:rFonts w:ascii="仿宋_GB2312" w:hAnsi="仿宋_GB2312" w:cs="仿宋_GB2312" w:eastAsia="仿宋_GB2312"/>
                <w:sz w:val="24"/>
              </w:rPr>
              <w:t>月</w:t>
            </w:r>
            <w:r>
              <w:rPr>
                <w:rFonts w:ascii="仿宋_GB2312" w:hAnsi="仿宋_GB2312" w:cs="仿宋_GB2312" w:eastAsia="仿宋_GB2312"/>
                <w:sz w:val="24"/>
              </w:rPr>
              <w:t>进行一次全面巡检，包括设备除尘、线路检查、系统优化等，并提交巡检报告，防患于未然。</w:t>
            </w:r>
          </w:p>
          <w:p>
            <w:pPr>
              <w:pStyle w:val="null3"/>
              <w:numPr>
                <w:ilvl w:val="0"/>
                <w:numId w:val="2"/>
              </w:numPr>
              <w:jc w:val="both"/>
            </w:pPr>
            <w:r>
              <w:rPr>
                <w:rFonts w:ascii="仿宋_GB2312" w:hAnsi="仿宋_GB2312" w:cs="仿宋_GB2312" w:eastAsia="仿宋_GB2312"/>
                <w:sz w:val="28"/>
                <w:b/>
                <w:color w:val="000000"/>
              </w:rPr>
              <w:t>其他要求</w:t>
            </w:r>
          </w:p>
          <w:p>
            <w:pPr>
              <w:pStyle w:val="null3"/>
              <w:ind w:firstLine="480"/>
              <w:jc w:val="both"/>
            </w:pPr>
            <w:r>
              <w:rPr>
                <w:rFonts w:ascii="仿宋_GB2312" w:hAnsi="仿宋_GB2312" w:cs="仿宋_GB2312" w:eastAsia="仿宋_GB2312"/>
                <w:sz w:val="24"/>
              </w:rPr>
              <w:t>1.服务期;合同签订后15个日历内完成</w:t>
            </w:r>
          </w:p>
          <w:p>
            <w:pPr>
              <w:pStyle w:val="null3"/>
              <w:ind w:firstLine="480"/>
              <w:jc w:val="both"/>
            </w:pPr>
            <w:r>
              <w:rPr>
                <w:rFonts w:ascii="仿宋_GB2312" w:hAnsi="仿宋_GB2312" w:cs="仿宋_GB2312" w:eastAsia="仿宋_GB2312"/>
                <w:sz w:val="24"/>
              </w:rPr>
              <w:t>2.付款方式;合同签订后预付50%，验收合格后支付另外50%</w:t>
            </w:r>
          </w:p>
          <w:p>
            <w:pPr>
              <w:pStyle w:val="null3"/>
              <w:ind w:firstLine="480"/>
              <w:jc w:val="both"/>
            </w:pPr>
            <w:r>
              <w:rPr>
                <w:rFonts w:ascii="仿宋_GB2312" w:hAnsi="仿宋_GB2312" w:cs="仿宋_GB2312" w:eastAsia="仿宋_GB2312"/>
                <w:sz w:val="24"/>
              </w:rPr>
              <w:t>3.争议;在执行本合同过程中发生的一切争议，双方应先通过友好协商解决，协商不成的，任何一方均可向项目所在地人民法院诉诸解决。</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合同签订后15个日历内完成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符合采购文件需求及国家或行业标准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进度款，交付验收合格之后，达到付款条件起10个工作日内，支付合同总金额的50.0%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在执行本合同过程中发生的一切争议，双方应先通过友好协商解决，协商不成的，任何一方均可向项目所在地人民法院诉诸解决。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供应商身份证明文件</w:t>
            </w:r>
          </w:p>
        </w:tc>
        <w:tc>
          <w:tcPr>
            <w:tcW w:type="dxa" w:w="3322"/>
          </w:tcPr>
          <w:p>
            <w:pPr>
              <w:pStyle w:val="null3"/>
            </w:pPr>
            <w:r>
              <w:rPr>
                <w:rFonts w:ascii="仿宋_GB2312" w:hAnsi="仿宋_GB2312" w:cs="仿宋_GB2312" w:eastAsia="仿宋_GB2312"/>
              </w:rPr>
              <w:t>法定代表人授权书，法定代表人直接参加磋商，须提供法定代表人身份证明及身份证复印件；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具备履行合同所必需的设备和专业技术能力的证明材料</w:t>
            </w:r>
          </w:p>
        </w:tc>
        <w:tc>
          <w:tcPr>
            <w:tcW w:type="dxa" w:w="3322"/>
          </w:tcPr>
          <w:p>
            <w:pPr>
              <w:pStyle w:val="null3"/>
            </w:pPr>
            <w:r>
              <w:rPr>
                <w:rFonts w:ascii="仿宋_GB2312" w:hAnsi="仿宋_GB2312" w:cs="仿宋_GB2312" w:eastAsia="仿宋_GB2312"/>
              </w:rPr>
              <w:t>由供应商根据项目需求提供说明材料或者承诺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度的经审计的完整财务会计报告（成立时间至提交磋商文件截止时间不足一年的可提供成立后任意时段的资产负债表），或其基本存款账户开户银行出具的资信证明及基本存款账户开户许可证（基本账户信息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提供磋商截止日前六个月内任意一个月的社保资金交纳证明，依法不需要缴纳社保资金的单位提供相关证明材料；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提供磋商截止日前六个月内任意一个月的纳税证明或完税证明，依法免税的单位提供相关证明材料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未在“信用中国”网站（www.creditchina.gov.cn）和“中国政府采购网”（ccgp.gov.cn）列入严重失信主体、重大税收违法案件当事人名单、政府采购严重违法失信行为记录名单；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与“营业执照等主体资格证明文件”一致</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竞争性磋商响应文件格式</w:t>
            </w:r>
          </w:p>
        </w:tc>
        <w:tc>
          <w:tcPr>
            <w:tcW w:type="dxa" w:w="3322"/>
          </w:tcPr>
          <w:p>
            <w:pPr>
              <w:pStyle w:val="null3"/>
            </w:pPr>
            <w:r>
              <w:rPr>
                <w:rFonts w:ascii="仿宋_GB2312" w:hAnsi="仿宋_GB2312" w:cs="仿宋_GB2312" w:eastAsia="仿宋_GB2312"/>
              </w:rPr>
              <w:t>符合“竞争性磋商响应文件格式”要求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竞争性磋商响应文件有效期</w:t>
            </w:r>
          </w:p>
        </w:tc>
        <w:tc>
          <w:tcPr>
            <w:tcW w:type="dxa" w:w="3322"/>
          </w:tcPr>
          <w:p>
            <w:pPr>
              <w:pStyle w:val="null3"/>
            </w:pPr>
            <w:r>
              <w:rPr>
                <w:rFonts w:ascii="仿宋_GB2312" w:hAnsi="仿宋_GB2312" w:cs="仿宋_GB2312" w:eastAsia="仿宋_GB2312"/>
              </w:rPr>
              <w:t>符合“磋商须知前附表”要求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符合“磋商项目技术、服务、商务及其他要求”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竞争性磋商响应文件签署、盖章</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未超过最高限价，且无选择性报价</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提出针对本项目的服务方案，内容包括： ①：整体服务方案 ②：进度保障措施 ③：培训方案 ④：应急情况处理方案 （二）评审及赋分标准： 以上内容各部分内容全面详细、阐述条理清晰详尽、符合本项目采购需求得12分；评审内容每有一项缺项、与本项目内容无关或只有标题没有实质性内容扣3分；评审内容有缺陷或未完全响应评审标准的（缺陷是指：内容粗略、描述过于简单、条理不清晰、出现常识性错误、存在不完全适用项目实际情况的情形等），每项扣0.5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 提出针对本项目的质量保障措施，内容包括： ①质量目标； ②质量保证措施； ③质量管理措施； （二）评审及赋分标准： 以上内容各部分内容全面详细、阐述条理清晰详尽、符合本项目采购需求得6分；评审内容每有一项缺项、与本项目内容无关或只有标题没有实质性内容扣2分；评审内容有缺陷或未完全响应评审标准的（缺陷是指：内容粗略、描述过于简单、条理不清晰、出现常识性错误、存在不完全适用项目实际情况的情形等），每项扣0.5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（一）评审内容 提出针对本项目的安全保障措施，内容包括： ①安全目标； ②安全保证体系； ③主要项目安全技术措施； （二）评审及赋分标准： 以上内容各部分内容全面详细、阐述条理清晰详尽、符合本项目采购需求得6分；评审内容每有一项缺项、与本项目内容无关或只有标题没有实质性内容扣2分；评审内容有缺陷或未完全响应评审标准的（缺陷是指：内容粗略、描述过于简单、条理不清晰、出现常识性错误、存在不完全适用项目实际情况的情形等），每项扣0.5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提出针对本项目的售后服务方案，内容包括： ①视频制作的售后服务措施； ②改建维护的售后服务措施； （二）评审及赋分标准： 以上内容各部分内容全面详细、阐述条理清晰详尽、符合本项目采购需求得6分；评审内容每有一项缺项、与本项目内容无关或只有标题没有实质性内容扣3分；评审内容有缺陷或未完全响应评审标准的（缺陷是指：内容粗略、描述过于简单、条理不清晰、出现常识性错误、存在不完全适用项目实际情况的情形等），每项扣0.5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视频制作</w:t>
            </w:r>
          </w:p>
        </w:tc>
        <w:tc>
          <w:tcPr>
            <w:tcW w:type="dxa" w:w="2492"/>
          </w:tcPr>
          <w:p>
            <w:pPr>
              <w:pStyle w:val="null3"/>
            </w:pPr>
            <w:r>
              <w:rPr>
                <w:rFonts w:ascii="仿宋_GB2312" w:hAnsi="仿宋_GB2312" w:cs="仿宋_GB2312" w:eastAsia="仿宋_GB2312"/>
              </w:rPr>
              <w:t>投标人须结合本项目实际需求，贴合项目实际，视频大纲、脚本、分镜设计完整规范、定制性强，逻辑清晰、无模板化内容，可直接用于视频制作，完全满足项目要求的，得5分；具备完整框架，基本贴合项目需求，内容偏简略、细化不足，存在部分通用模板内容，需优化后方可使用的,得3分；内容零散残缺、不成体系，未结合项目定制，通用性强、贴合度不足，无法支撑视频制作工作开展的,得1分。 投标人须提供长度≥1分钟的原创视频小样，视频内容与本项目高度贴合、画面清晰、制作规范的，得5分；原创视频小样长度≥1分钟且内容较为贴合本项目、画面较为清晰、制作较为规范的，得3分；原创视频小样长度≥1分钟且内容贴合度不足、画面效果及制作较为粗糙的，得1分，原创视频小样长度＜1分钟，不得分。 未按要求提供上述材料的，本项不得分。 （开标截止日之前，请各供应商将制作好的视频小样，存储至u盘内，递交至采购代理机构，u盘密封，密封袋表面标注供应商名称、项目名称、项目编号。**年**月**日**时之前禁止开启）</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针对本项目提供人员配备情况进行评审：演编导、影视拍摄、图片拍摄、视频制作、动漫设计、平面设计、安全员、质量员、材料员、资料员、施工员、劳务员等，每提供一人得1分，一人多岗仅得1分，本项共12分。 注：证明材料包括但不限于身份证、毕业证书、资格证书、劳动合同、社保缴纳证明等相关证明资料复印件加盖公章。 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评审内容：针对本项目提供具体可行的服务承诺；包括服务响应时限、人员到位、不能完全履行承诺时愿意接受相关处罚的承诺； 上述3项评审内容全部有承诺得3分，评审内容缺项每项扣1分，扣完为止。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2023年1月1日至今）类似项目业绩，每一个项目业绩计5分，满分15分。注：须提供项目的中标通知书和合同（合同包含首页、标的金额所在页、合同签字盖章页、每份业绩同时提供采购人出具的评价材料。若中标通知书和合同时间不一致的，以合同签订时间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磋商报价得分=（磋商基准价/磋商报价）×价格权值（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lvl w:ilvl="1">
      <w:start w:val="1"/>
      <w:numFmt w:val="lowerLetter"/>
      <w:lvlText w:val="%2."/>
      <w:lvlJc w:val="left"/>
      <w:pPr>
        <w:ind w:left="36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