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F39AB">
      <w:pPr>
        <w:pStyle w:val="8"/>
        <w:jc w:val="center"/>
        <w:outlineLvl w:val="1"/>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36"/>
          <w:highlight w:val="none"/>
          <w14:textFill>
            <w14:solidFill>
              <w14:schemeClr w14:val="tx1"/>
            </w14:solidFill>
          </w14:textFill>
        </w:rPr>
        <w:t>拟签订合同文本</w:t>
      </w:r>
    </w:p>
    <w:p w14:paraId="149A2F63">
      <w:pPr>
        <w:pStyle w:val="8"/>
        <w:rPr>
          <w:rFonts w:ascii="仿宋_GB2312" w:hAnsi="仿宋_GB2312" w:eastAsia="仿宋_GB2312" w:cs="仿宋_GB2312"/>
          <w:color w:val="000000" w:themeColor="text1"/>
          <w:highlight w:val="none"/>
          <w14:textFill>
            <w14:solidFill>
              <w14:schemeClr w14:val="tx1"/>
            </w14:solidFill>
          </w14:textFill>
        </w:rPr>
      </w:pPr>
    </w:p>
    <w:p w14:paraId="0DDB5458">
      <w:pPr>
        <w:jc w:val="right"/>
        <w:rPr>
          <w:rFonts w:hint="eastAsia" w:ascii="宋体" w:hAnsi="宋体" w:cs="仿宋"/>
          <w:b/>
          <w:color w:val="000000" w:themeColor="text1"/>
          <w:sz w:val="32"/>
          <w:szCs w:val="32"/>
          <w:highlight w:val="none"/>
          <w:bdr w:val="single" w:color="auto" w:sz="4" w:space="0"/>
          <w:shd w:val="pct10" w:color="auto" w:fill="FFFFFF"/>
          <w14:textFill>
            <w14:solidFill>
              <w14:schemeClr w14:val="tx1"/>
            </w14:solidFill>
          </w14:textFill>
        </w:rPr>
      </w:pPr>
    </w:p>
    <w:p w14:paraId="323F5D8E">
      <w:pPr>
        <w:jc w:val="right"/>
        <w:rPr>
          <w:rFonts w:hint="eastAsia" w:ascii="方正小标宋简体" w:hAnsi="宋体" w:eastAsia="方正小标宋简体" w:cs="仿宋"/>
          <w:b/>
          <w:color w:val="000000" w:themeColor="text1"/>
          <w:sz w:val="32"/>
          <w:szCs w:val="32"/>
          <w:highlight w:val="none"/>
          <w:bdr w:val="single" w:color="auto" w:sz="4" w:space="0"/>
          <w:shd w:val="pct10" w:color="auto" w:fill="FFFFFF"/>
          <w14:textFill>
            <w14:solidFill>
              <w14:schemeClr w14:val="tx1"/>
            </w14:solidFill>
          </w14:textFill>
        </w:rPr>
      </w:pPr>
      <w:r>
        <w:rPr>
          <w:rFonts w:hint="eastAsia" w:ascii="方正小标宋简体" w:hAnsi="宋体" w:eastAsia="方正小标宋简体" w:cs="仿宋"/>
          <w:b/>
          <w:color w:val="000000" w:themeColor="text1"/>
          <w:sz w:val="32"/>
          <w:szCs w:val="32"/>
          <w:highlight w:val="none"/>
          <w:bdr w:val="single" w:color="auto" w:sz="4" w:space="0"/>
          <w:shd w:val="pct10" w:color="auto" w:fill="FFFFFF"/>
          <w14:textFill>
            <w14:solidFill>
              <w14:schemeClr w14:val="tx1"/>
            </w14:solidFill>
          </w14:textFill>
        </w:rPr>
        <w:t>政府采购项目</w:t>
      </w:r>
    </w:p>
    <w:p w14:paraId="43F4E328">
      <w:pPr>
        <w:jc w:val="center"/>
        <w:rPr>
          <w:rFonts w:hint="eastAsia" w:ascii="宋体" w:hAnsi="宋体" w:cs="仿宋"/>
          <w:color w:val="000000" w:themeColor="text1"/>
          <w:sz w:val="44"/>
          <w:szCs w:val="44"/>
          <w:highlight w:val="none"/>
          <w14:textFill>
            <w14:solidFill>
              <w14:schemeClr w14:val="tx1"/>
            </w14:solidFill>
          </w14:textFill>
        </w:rPr>
      </w:pPr>
    </w:p>
    <w:p w14:paraId="24BB55D1">
      <w:pPr>
        <w:jc w:val="center"/>
        <w:rPr>
          <w:rFonts w:hint="eastAsia" w:ascii="宋体" w:hAnsi="宋体" w:cs="仿宋"/>
          <w:color w:val="000000" w:themeColor="text1"/>
          <w:sz w:val="44"/>
          <w:szCs w:val="44"/>
          <w:highlight w:val="none"/>
          <w14:textFill>
            <w14:solidFill>
              <w14:schemeClr w14:val="tx1"/>
            </w14:solidFill>
          </w14:textFill>
        </w:rPr>
      </w:pPr>
    </w:p>
    <w:p w14:paraId="41D7F610">
      <w:pPr>
        <w:jc w:val="center"/>
        <w:rPr>
          <w:rFonts w:hint="eastAsia" w:ascii="方正小标宋简体" w:hAnsi="宋体" w:eastAsia="方正小标宋简体" w:cs="宋体"/>
          <w:b/>
          <w:color w:val="000000" w:themeColor="text1"/>
          <w:spacing w:val="-42"/>
          <w:sz w:val="52"/>
          <w:szCs w:val="52"/>
          <w:highlight w:val="none"/>
          <w:lang w:eastAsia="zh-CN"/>
          <w14:textFill>
            <w14:solidFill>
              <w14:schemeClr w14:val="tx1"/>
            </w14:solidFill>
          </w14:textFill>
        </w:rPr>
      </w:pPr>
      <w:r>
        <w:rPr>
          <w:rFonts w:hint="eastAsia" w:ascii="方正小标宋简体" w:hAnsi="宋体" w:eastAsia="方正小标宋简体" w:cs="宋体"/>
          <w:b/>
          <w:color w:val="000000" w:themeColor="text1"/>
          <w:spacing w:val="128"/>
          <w:kern w:val="0"/>
          <w:sz w:val="52"/>
          <w:szCs w:val="52"/>
          <w:highlight w:val="none"/>
          <w:fitText w:val="5957" w:id="254354047"/>
          <w:lang w:eastAsia="zh-CN"/>
          <w14:textFill>
            <w14:solidFill>
              <w14:schemeClr w14:val="tx1"/>
            </w14:solidFill>
          </w14:textFill>
        </w:rPr>
        <w:t>西安职业技术学</w:t>
      </w:r>
      <w:r>
        <w:rPr>
          <w:rFonts w:hint="eastAsia" w:ascii="方正小标宋简体" w:hAnsi="宋体" w:eastAsia="方正小标宋简体" w:cs="宋体"/>
          <w:b/>
          <w:color w:val="000000" w:themeColor="text1"/>
          <w:spacing w:val="2"/>
          <w:kern w:val="0"/>
          <w:sz w:val="52"/>
          <w:szCs w:val="52"/>
          <w:highlight w:val="none"/>
          <w:fitText w:val="5957" w:id="254354047"/>
          <w:lang w:eastAsia="zh-CN"/>
          <w14:textFill>
            <w14:solidFill>
              <w14:schemeClr w14:val="tx1"/>
            </w14:solidFill>
          </w14:textFill>
        </w:rPr>
        <w:t>院</w:t>
      </w:r>
    </w:p>
    <w:p w14:paraId="776BC9FC">
      <w:pPr>
        <w:jc w:val="center"/>
        <w:rPr>
          <w:rFonts w:hint="eastAsia" w:ascii="方正小标宋简体" w:hAnsi="宋体" w:eastAsia="方正小标宋简体" w:cs="宋体"/>
          <w:b/>
          <w:color w:val="000000" w:themeColor="text1"/>
          <w:spacing w:val="-42"/>
          <w:sz w:val="52"/>
          <w:szCs w:val="52"/>
          <w:highlight w:val="none"/>
          <w14:textFill>
            <w14:solidFill>
              <w14:schemeClr w14:val="tx1"/>
            </w14:solidFill>
          </w14:textFill>
        </w:rPr>
      </w:pPr>
      <w:r>
        <w:rPr>
          <w:rFonts w:hint="eastAsia" w:ascii="方正小标宋简体" w:hAnsi="宋体" w:eastAsia="方正小标宋简体" w:cs="宋体"/>
          <w:b/>
          <w:color w:val="000000" w:themeColor="text1"/>
          <w:spacing w:val="-42"/>
          <w:sz w:val="52"/>
          <w:szCs w:val="52"/>
          <w:highlight w:val="none"/>
          <w:u w:val="single"/>
          <w14:textFill>
            <w14:solidFill>
              <w14:schemeClr w14:val="tx1"/>
            </w14:solidFill>
          </w14:textFill>
        </w:rPr>
        <w:t xml:space="preserve">       </w:t>
      </w:r>
      <w:r>
        <w:rPr>
          <w:rFonts w:hint="eastAsia" w:ascii="方正小标宋简体" w:hAnsi="宋体" w:eastAsia="方正小标宋简体" w:cs="宋体"/>
          <w:b/>
          <w:color w:val="000000" w:themeColor="text1"/>
          <w:spacing w:val="-42"/>
          <w:sz w:val="52"/>
          <w:szCs w:val="52"/>
          <w:highlight w:val="none"/>
          <w:u w:val="single"/>
          <w:lang w:val="en-US" w:eastAsia="zh-CN"/>
          <w14:textFill>
            <w14:solidFill>
              <w14:schemeClr w14:val="tx1"/>
            </w14:solidFill>
          </w14:textFill>
        </w:rPr>
        <w:t xml:space="preserve">   </w:t>
      </w:r>
      <w:r>
        <w:rPr>
          <w:rFonts w:hint="eastAsia" w:ascii="方正小标宋简体" w:hAnsi="宋体" w:eastAsia="方正小标宋简体" w:cs="宋体"/>
          <w:b/>
          <w:color w:val="000000" w:themeColor="text1"/>
          <w:spacing w:val="-42"/>
          <w:sz w:val="52"/>
          <w:szCs w:val="52"/>
          <w:highlight w:val="none"/>
          <w:u w:val="single"/>
          <w14:textFill>
            <w14:solidFill>
              <w14:schemeClr w14:val="tx1"/>
            </w14:solidFill>
          </w14:textFill>
        </w:rPr>
        <w:t xml:space="preserve">         </w:t>
      </w:r>
      <w:r>
        <w:rPr>
          <w:rFonts w:hint="eastAsia" w:ascii="方正小标宋简体" w:hAnsi="宋体" w:eastAsia="方正小标宋简体" w:cs="宋体"/>
          <w:b/>
          <w:color w:val="000000" w:themeColor="text1"/>
          <w:spacing w:val="-42"/>
          <w:sz w:val="52"/>
          <w:szCs w:val="52"/>
          <w:highlight w:val="none"/>
          <w14:textFill>
            <w14:solidFill>
              <w14:schemeClr w14:val="tx1"/>
            </w14:solidFill>
          </w14:textFill>
        </w:rPr>
        <w:t>项目</w:t>
      </w:r>
    </w:p>
    <w:p w14:paraId="5A24ADA0">
      <w:pPr>
        <w:pStyle w:val="9"/>
        <w:rPr>
          <w:rFonts w:hint="eastAsia"/>
          <w:color w:val="000000" w:themeColor="text1"/>
          <w:highlight w:val="none"/>
          <w14:textFill>
            <w14:solidFill>
              <w14:schemeClr w14:val="tx1"/>
            </w14:solidFill>
          </w14:textFill>
        </w:rPr>
      </w:pPr>
    </w:p>
    <w:p w14:paraId="72E3ED09">
      <w:pPr>
        <w:pStyle w:val="9"/>
        <w:rPr>
          <w:color w:val="000000" w:themeColor="text1"/>
          <w:highlight w:val="none"/>
          <w14:textFill>
            <w14:solidFill>
              <w14:schemeClr w14:val="tx1"/>
            </w14:solidFill>
          </w14:textFill>
        </w:rPr>
      </w:pPr>
    </w:p>
    <w:p w14:paraId="5E6DDE38">
      <w:pPr>
        <w:pStyle w:val="9"/>
        <w:rPr>
          <w:color w:val="000000" w:themeColor="text1"/>
          <w:highlight w:val="none"/>
          <w14:textFill>
            <w14:solidFill>
              <w14:schemeClr w14:val="tx1"/>
            </w14:solidFill>
          </w14:textFill>
        </w:rPr>
      </w:pPr>
    </w:p>
    <w:p w14:paraId="5EC7F1E4">
      <w:pPr>
        <w:spacing w:line="360" w:lineRule="auto"/>
        <w:jc w:val="center"/>
        <w:rPr>
          <w:rFonts w:hint="eastAsia" w:ascii="方正小标宋简体" w:hAnsi="宋体" w:eastAsia="方正小标宋简体" w:cs="仿宋"/>
          <w:b/>
          <w:color w:val="000000" w:themeColor="text1"/>
          <w:sz w:val="32"/>
          <w:szCs w:val="32"/>
          <w:highlight w:val="none"/>
          <w14:textFill>
            <w14:solidFill>
              <w14:schemeClr w14:val="tx1"/>
            </w14:solidFill>
          </w14:textFill>
        </w:rPr>
      </w:pPr>
      <w:r>
        <w:rPr>
          <w:rFonts w:hint="eastAsia" w:ascii="方正小标宋简体" w:hAnsi="宋体" w:eastAsia="方正小标宋简体" w:cs="仿宋"/>
          <w:b/>
          <w:color w:val="000000" w:themeColor="text1"/>
          <w:spacing w:val="242"/>
          <w:kern w:val="0"/>
          <w:sz w:val="72"/>
          <w:szCs w:val="72"/>
          <w:highlight w:val="none"/>
          <w:fitText w:val="4337" w:id="1639337753"/>
          <w14:textFill>
            <w14:solidFill>
              <w14:schemeClr w14:val="tx1"/>
            </w14:solidFill>
          </w14:textFill>
        </w:rPr>
        <w:t>供货合</w:t>
      </w:r>
      <w:r>
        <w:rPr>
          <w:rFonts w:hint="eastAsia" w:ascii="方正小标宋简体" w:hAnsi="宋体" w:eastAsia="方正小标宋简体" w:cs="仿宋"/>
          <w:b/>
          <w:color w:val="000000" w:themeColor="text1"/>
          <w:spacing w:val="2"/>
          <w:kern w:val="0"/>
          <w:sz w:val="72"/>
          <w:szCs w:val="72"/>
          <w:highlight w:val="none"/>
          <w:fitText w:val="4337" w:id="1639337753"/>
          <w14:textFill>
            <w14:solidFill>
              <w14:schemeClr w14:val="tx1"/>
            </w14:solidFill>
          </w14:textFill>
        </w:rPr>
        <w:t>同</w:t>
      </w:r>
    </w:p>
    <w:p w14:paraId="3797ADFE">
      <w:pPr>
        <w:spacing w:line="360" w:lineRule="auto"/>
        <w:rPr>
          <w:rFonts w:hint="eastAsia" w:ascii="方正小标宋简体" w:hAnsi="宋体" w:eastAsia="方正小标宋简体" w:cs="仿宋"/>
          <w:b/>
          <w:color w:val="000000" w:themeColor="text1"/>
          <w:sz w:val="32"/>
          <w:szCs w:val="32"/>
          <w:highlight w:val="none"/>
          <w14:textFill>
            <w14:solidFill>
              <w14:schemeClr w14:val="tx1"/>
            </w14:solidFill>
          </w14:textFill>
        </w:rPr>
      </w:pPr>
    </w:p>
    <w:p w14:paraId="7F828F26">
      <w:pPr>
        <w:pStyle w:val="9"/>
        <w:rPr>
          <w:color w:val="000000" w:themeColor="text1"/>
          <w:highlight w:val="none"/>
          <w14:textFill>
            <w14:solidFill>
              <w14:schemeClr w14:val="tx1"/>
            </w14:solidFill>
          </w14:textFill>
        </w:rPr>
      </w:pPr>
    </w:p>
    <w:p w14:paraId="50FAADE8">
      <w:pPr>
        <w:spacing w:line="360" w:lineRule="auto"/>
        <w:ind w:firstLine="1928" w:firstLineChars="600"/>
        <w:rPr>
          <w:rFonts w:hint="eastAsia" w:ascii="方正小标宋简体" w:hAnsi="宋体" w:eastAsia="方正小标宋简体" w:cs="仿宋"/>
          <w:b/>
          <w:color w:val="000000" w:themeColor="text1"/>
          <w:sz w:val="32"/>
          <w:szCs w:val="32"/>
          <w:highlight w:val="none"/>
          <w14:textFill>
            <w14:solidFill>
              <w14:schemeClr w14:val="tx1"/>
            </w14:solidFill>
          </w14:textFill>
        </w:rPr>
      </w:pPr>
      <w:r>
        <w:rPr>
          <w:rFonts w:hint="eastAsia" w:ascii="方正小标宋简体" w:hAnsi="宋体" w:eastAsia="方正小标宋简体" w:cs="仿宋"/>
          <w:b/>
          <w:color w:val="000000" w:themeColor="text1"/>
          <w:sz w:val="32"/>
          <w:szCs w:val="32"/>
          <w:highlight w:val="none"/>
          <w14:textFill>
            <w14:solidFill>
              <w14:schemeClr w14:val="tx1"/>
            </w14:solidFill>
          </w14:textFill>
        </w:rPr>
        <w:t>项目编号：</w:t>
      </w:r>
    </w:p>
    <w:p w14:paraId="3F9033F5">
      <w:pPr>
        <w:spacing w:line="360" w:lineRule="auto"/>
        <w:ind w:firstLine="1928" w:firstLineChars="600"/>
        <w:rPr>
          <w:rFonts w:hint="eastAsia" w:ascii="方正小标宋简体" w:hAnsi="宋体" w:eastAsia="方正小标宋简体" w:cs="仿宋"/>
          <w:b/>
          <w:color w:val="000000" w:themeColor="text1"/>
          <w:sz w:val="32"/>
          <w:szCs w:val="32"/>
          <w:highlight w:val="none"/>
          <w14:textFill>
            <w14:solidFill>
              <w14:schemeClr w14:val="tx1"/>
            </w14:solidFill>
          </w14:textFill>
        </w:rPr>
      </w:pPr>
      <w:r>
        <w:rPr>
          <w:rFonts w:hint="eastAsia" w:ascii="方正小标宋简体" w:hAnsi="宋体" w:eastAsia="方正小标宋简体" w:cs="仿宋"/>
          <w:b/>
          <w:color w:val="000000" w:themeColor="text1"/>
          <w:sz w:val="32"/>
          <w:szCs w:val="32"/>
          <w:highlight w:val="none"/>
          <w14:textFill>
            <w14:solidFill>
              <w14:schemeClr w14:val="tx1"/>
            </w14:solidFill>
          </w14:textFill>
        </w:rPr>
        <w:t xml:space="preserve">合同编号：    </w:t>
      </w:r>
    </w:p>
    <w:p w14:paraId="5B0C09C8">
      <w:pPr>
        <w:spacing w:line="360" w:lineRule="auto"/>
        <w:ind w:firstLine="1928" w:firstLineChars="600"/>
        <w:rPr>
          <w:rFonts w:hint="eastAsia" w:ascii="方正小标宋简体" w:hAnsi="宋体" w:eastAsia="方正小标宋简体" w:cs="仿宋"/>
          <w:b/>
          <w:color w:val="000000" w:themeColor="text1"/>
          <w:sz w:val="32"/>
          <w:szCs w:val="32"/>
          <w:highlight w:val="none"/>
          <w:lang w:eastAsia="zh-CN"/>
          <w14:textFill>
            <w14:solidFill>
              <w14:schemeClr w14:val="tx1"/>
            </w14:solidFill>
          </w14:textFill>
        </w:rPr>
      </w:pPr>
      <w:r>
        <w:rPr>
          <w:rFonts w:hint="eastAsia" w:ascii="方正小标宋简体" w:hAnsi="宋体" w:eastAsia="方正小标宋简体" w:cs="仿宋"/>
          <w:b/>
          <w:color w:val="000000" w:themeColor="text1"/>
          <w:sz w:val="32"/>
          <w:szCs w:val="32"/>
          <w:highlight w:val="none"/>
          <w14:textFill>
            <w14:solidFill>
              <w14:schemeClr w14:val="tx1"/>
            </w14:solidFill>
          </w14:textFill>
        </w:rPr>
        <w:t>买    方：</w:t>
      </w:r>
      <w:r>
        <w:rPr>
          <w:rFonts w:hint="eastAsia" w:ascii="方正小标宋简体" w:hAnsi="宋体" w:eastAsia="方正小标宋简体" w:cs="仿宋"/>
          <w:b/>
          <w:color w:val="000000" w:themeColor="text1"/>
          <w:sz w:val="32"/>
          <w:szCs w:val="32"/>
          <w:highlight w:val="none"/>
          <w:lang w:eastAsia="zh-CN"/>
          <w14:textFill>
            <w14:solidFill>
              <w14:schemeClr w14:val="tx1"/>
            </w14:solidFill>
          </w14:textFill>
        </w:rPr>
        <w:t>西安职业技术学院</w:t>
      </w:r>
    </w:p>
    <w:p w14:paraId="77E02EF2">
      <w:pPr>
        <w:spacing w:line="360" w:lineRule="auto"/>
        <w:ind w:firstLine="1928" w:firstLineChars="600"/>
        <w:rPr>
          <w:rFonts w:hint="eastAsia" w:ascii="方正小标宋简体" w:hAnsi="宋体" w:eastAsia="方正小标宋简体" w:cs="仿宋"/>
          <w:b/>
          <w:color w:val="000000" w:themeColor="text1"/>
          <w:sz w:val="32"/>
          <w:szCs w:val="32"/>
          <w:highlight w:val="none"/>
          <w14:textFill>
            <w14:solidFill>
              <w14:schemeClr w14:val="tx1"/>
            </w14:solidFill>
          </w14:textFill>
        </w:rPr>
      </w:pPr>
      <w:r>
        <w:rPr>
          <w:rFonts w:hint="eastAsia" w:ascii="方正小标宋简体" w:hAnsi="宋体" w:eastAsia="方正小标宋简体" w:cs="仿宋"/>
          <w:b/>
          <w:color w:val="000000" w:themeColor="text1"/>
          <w:sz w:val="32"/>
          <w:szCs w:val="32"/>
          <w:highlight w:val="none"/>
          <w14:textFill>
            <w14:solidFill>
              <w14:schemeClr w14:val="tx1"/>
            </w14:solidFill>
          </w14:textFill>
        </w:rPr>
        <w:t>卖    方：</w:t>
      </w:r>
    </w:p>
    <w:p w14:paraId="3CF83A71">
      <w:pPr>
        <w:pStyle w:val="9"/>
        <w:rPr>
          <w:rFonts w:ascii="方正小标宋简体" w:eastAsia="方正小标宋简体"/>
          <w:color w:val="000000" w:themeColor="text1"/>
          <w:highlight w:val="none"/>
          <w14:textFill>
            <w14:solidFill>
              <w14:schemeClr w14:val="tx1"/>
            </w14:solidFill>
          </w14:textFill>
        </w:rPr>
      </w:pPr>
    </w:p>
    <w:p w14:paraId="110D3992">
      <w:pPr>
        <w:pStyle w:val="9"/>
        <w:rPr>
          <w:rFonts w:ascii="方正小标宋简体" w:eastAsia="方正小标宋简体"/>
          <w:color w:val="000000" w:themeColor="text1"/>
          <w:highlight w:val="none"/>
          <w14:textFill>
            <w14:solidFill>
              <w14:schemeClr w14:val="tx1"/>
            </w14:solidFill>
          </w14:textFill>
        </w:rPr>
      </w:pPr>
    </w:p>
    <w:p w14:paraId="19E6D87F">
      <w:pPr>
        <w:pStyle w:val="9"/>
        <w:rPr>
          <w:rFonts w:ascii="方正小标宋简体" w:eastAsia="方正小标宋简体"/>
          <w:color w:val="000000" w:themeColor="text1"/>
          <w:highlight w:val="none"/>
          <w14:textFill>
            <w14:solidFill>
              <w14:schemeClr w14:val="tx1"/>
            </w14:solidFill>
          </w14:textFill>
        </w:rPr>
      </w:pPr>
    </w:p>
    <w:p w14:paraId="48276738">
      <w:pPr>
        <w:spacing w:line="360" w:lineRule="auto"/>
        <w:jc w:val="center"/>
        <w:rPr>
          <w:rFonts w:hint="eastAsia" w:ascii="宋体" w:hAnsi="宋体" w:cs="仿宋"/>
          <w:b/>
          <w:color w:val="000000" w:themeColor="text1"/>
          <w:sz w:val="32"/>
          <w:szCs w:val="32"/>
          <w:highlight w:val="none"/>
          <w14:textFill>
            <w14:solidFill>
              <w14:schemeClr w14:val="tx1"/>
            </w14:solidFill>
          </w14:textFill>
        </w:rPr>
      </w:pPr>
      <w:r>
        <w:rPr>
          <w:rFonts w:hint="eastAsia" w:ascii="方正小标宋简体" w:hAnsi="宋体" w:eastAsia="方正小标宋简体" w:cs="仿宋"/>
          <w:b/>
          <w:color w:val="000000" w:themeColor="text1"/>
          <w:sz w:val="32"/>
          <w:szCs w:val="32"/>
          <w:highlight w:val="none"/>
          <w:u w:val="single"/>
          <w14:textFill>
            <w14:solidFill>
              <w14:schemeClr w14:val="tx1"/>
            </w14:solidFill>
          </w14:textFill>
        </w:rPr>
        <w:t xml:space="preserve">     </w:t>
      </w:r>
      <w:r>
        <w:rPr>
          <w:rFonts w:hint="eastAsia" w:ascii="方正小标宋简体" w:hAnsi="宋体" w:eastAsia="方正小标宋简体" w:cs="仿宋"/>
          <w:b/>
          <w:color w:val="000000" w:themeColor="text1"/>
          <w:sz w:val="32"/>
          <w:szCs w:val="32"/>
          <w:highlight w:val="none"/>
          <w14:textFill>
            <w14:solidFill>
              <w14:schemeClr w14:val="tx1"/>
            </w14:solidFill>
          </w14:textFill>
        </w:rPr>
        <w:t>年</w:t>
      </w:r>
      <w:r>
        <w:rPr>
          <w:rFonts w:hint="eastAsia" w:ascii="方正小标宋简体" w:hAnsi="宋体" w:eastAsia="方正小标宋简体" w:cs="仿宋"/>
          <w:b/>
          <w:color w:val="000000" w:themeColor="text1"/>
          <w:sz w:val="32"/>
          <w:szCs w:val="32"/>
          <w:highlight w:val="none"/>
          <w:u w:val="single"/>
          <w14:textFill>
            <w14:solidFill>
              <w14:schemeClr w14:val="tx1"/>
            </w14:solidFill>
          </w14:textFill>
        </w:rPr>
        <w:t xml:space="preserve">    </w:t>
      </w:r>
      <w:r>
        <w:rPr>
          <w:rFonts w:hint="eastAsia" w:ascii="方正小标宋简体" w:hAnsi="宋体" w:eastAsia="方正小标宋简体" w:cs="仿宋"/>
          <w:b/>
          <w:color w:val="000000" w:themeColor="text1"/>
          <w:sz w:val="32"/>
          <w:szCs w:val="32"/>
          <w:highlight w:val="none"/>
          <w14:textFill>
            <w14:solidFill>
              <w14:schemeClr w14:val="tx1"/>
            </w14:solidFill>
          </w14:textFill>
        </w:rPr>
        <w:t>月</w:t>
      </w:r>
      <w:r>
        <w:rPr>
          <w:rFonts w:hint="eastAsia" w:ascii="宋体" w:hAnsi="宋体" w:cs="仿宋"/>
          <w:b/>
          <w:color w:val="000000" w:themeColor="text1"/>
          <w:sz w:val="32"/>
          <w:szCs w:val="32"/>
          <w:highlight w:val="none"/>
          <w14:textFill>
            <w14:solidFill>
              <w14:schemeClr w14:val="tx1"/>
            </w14:solidFill>
          </w14:textFill>
        </w:rPr>
        <w:t xml:space="preserve"> </w:t>
      </w:r>
    </w:p>
    <w:p w14:paraId="763AE820">
      <w:pPr>
        <w:spacing w:line="480" w:lineRule="exact"/>
        <w:ind w:firstLine="3534" w:firstLineChars="800"/>
        <w:rPr>
          <w:rFonts w:hint="eastAsia" w:ascii="宋体" w:hAnsi="宋体" w:cs="仿宋"/>
          <w:b/>
          <w:color w:val="000000" w:themeColor="text1"/>
          <w:sz w:val="44"/>
          <w:szCs w:val="44"/>
          <w:highlight w:val="none"/>
          <w14:textFill>
            <w14:solidFill>
              <w14:schemeClr w14:val="tx1"/>
            </w14:solidFill>
          </w14:textFill>
        </w:rPr>
        <w:sectPr>
          <w:headerReference r:id="rId3" w:type="default"/>
          <w:pgSz w:w="11906" w:h="16838"/>
          <w:pgMar w:top="1418" w:right="1418" w:bottom="1418" w:left="1134" w:header="907" w:footer="1021" w:gutter="567"/>
          <w:pgNumType w:fmt="decimal" w:start="1"/>
          <w:cols w:space="720" w:num="1"/>
          <w:docGrid w:linePitch="312" w:charSpace="0"/>
        </w:sectPr>
      </w:pPr>
    </w:p>
    <w:p w14:paraId="602B1D86">
      <w:pPr>
        <w:kinsoku/>
        <w:wordWrap/>
        <w:overflowPunct/>
        <w:topLinePunct w:val="0"/>
        <w:bidi w:val="0"/>
        <w:spacing w:line="30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供货合同</w:t>
      </w:r>
    </w:p>
    <w:p w14:paraId="63139B90">
      <w:pPr>
        <w:numPr>
          <w:ilvl w:val="0"/>
          <w:numId w:val="0"/>
        </w:numPr>
        <w:kinsoku/>
        <w:wordWrap/>
        <w:overflowPunct/>
        <w:topLinePunct w:val="0"/>
        <w:bidi w:val="0"/>
        <w:spacing w:line="300" w:lineRule="auto"/>
        <w:ind w:firstLine="211" w:firstLineChars="100"/>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lang w:val="en-US" w:eastAsia="zh-CN"/>
          <w14:textFill>
            <w14:solidFill>
              <w14:schemeClr w14:val="tx1"/>
            </w14:solidFill>
          </w14:textFill>
        </w:rPr>
        <w:t>一、</w:t>
      </w:r>
      <w:r>
        <w:rPr>
          <w:rFonts w:hint="eastAsia" w:ascii="仿宋" w:hAnsi="仿宋" w:eastAsia="仿宋" w:cs="仿宋"/>
          <w:b/>
          <w:bCs/>
          <w:color w:val="000000" w:themeColor="text1"/>
          <w:sz w:val="21"/>
          <w:szCs w:val="21"/>
          <w:highlight w:val="none"/>
          <w14:textFill>
            <w14:solidFill>
              <w14:schemeClr w14:val="tx1"/>
            </w14:solidFill>
          </w14:textFill>
        </w:rPr>
        <w:t>供货合同格式</w:t>
      </w:r>
    </w:p>
    <w:p w14:paraId="0243D309">
      <w:pPr>
        <w:kinsoku/>
        <w:wordWrap/>
        <w:overflowPunct/>
        <w:topLinePunct w:val="0"/>
        <w:bidi w:val="0"/>
        <w:spacing w:line="300" w:lineRule="auto"/>
        <w:rPr>
          <w:rFonts w:hint="eastAsia" w:ascii="仿宋" w:hAnsi="仿宋" w:eastAsia="仿宋" w:cs="仿宋"/>
          <w:color w:val="000000" w:themeColor="text1"/>
          <w:spacing w:val="-2"/>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 xml:space="preserve">    </w:t>
      </w:r>
      <w:r>
        <w:rPr>
          <w:rFonts w:hint="eastAsia" w:ascii="仿宋" w:hAnsi="仿宋" w:eastAsia="仿宋" w:cs="仿宋"/>
          <w:color w:val="000000" w:themeColor="text1"/>
          <w:kern w:val="0"/>
          <w:sz w:val="21"/>
          <w:szCs w:val="21"/>
          <w:highlight w:val="none"/>
          <w:lang w:eastAsia="zh-CN"/>
          <w14:textFill>
            <w14:solidFill>
              <w14:schemeClr w14:val="tx1"/>
            </w14:solidFill>
          </w14:textFill>
        </w:rPr>
        <w:t>西安职业技术学院</w:t>
      </w:r>
      <w:r>
        <w:rPr>
          <w:rFonts w:hint="eastAsia" w:ascii="仿宋" w:hAnsi="仿宋" w:eastAsia="仿宋" w:cs="仿宋"/>
          <w:color w:val="000000" w:themeColor="text1"/>
          <w:kern w:val="0"/>
          <w:sz w:val="21"/>
          <w:szCs w:val="21"/>
          <w:highlight w:val="none"/>
          <w:u w:val="single"/>
          <w14:textFill>
            <w14:solidFill>
              <w14:schemeClr w14:val="tx1"/>
            </w14:solidFill>
          </w14:textFill>
        </w:rPr>
        <w:t xml:space="preserve"> (项目名称)(项目编号)(</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采购包</w:t>
      </w:r>
      <w:r>
        <w:rPr>
          <w:rFonts w:hint="eastAsia" w:ascii="仿宋" w:hAnsi="仿宋" w:eastAsia="仿宋" w:cs="仿宋"/>
          <w:color w:val="000000" w:themeColor="text1"/>
          <w:kern w:val="0"/>
          <w:sz w:val="21"/>
          <w:szCs w:val="21"/>
          <w:highlight w:val="none"/>
          <w:u w:val="single"/>
          <w14:textFill>
            <w14:solidFill>
              <w14:schemeClr w14:val="tx1"/>
            </w14:solidFill>
          </w14:textFill>
        </w:rPr>
        <w:t xml:space="preserve">号) </w:t>
      </w:r>
      <w:r>
        <w:rPr>
          <w:rFonts w:hint="eastAsia" w:ascii="仿宋" w:hAnsi="仿宋" w:eastAsia="仿宋" w:cs="仿宋"/>
          <w:color w:val="000000" w:themeColor="text1"/>
          <w:kern w:val="0"/>
          <w:sz w:val="21"/>
          <w:szCs w:val="21"/>
          <w:highlight w:val="none"/>
          <w14:textFill>
            <w14:solidFill>
              <w14:schemeClr w14:val="tx1"/>
            </w14:solidFill>
          </w14:textFill>
        </w:rPr>
        <w:t>项目</w:t>
      </w:r>
      <w:r>
        <w:rPr>
          <w:rFonts w:hint="eastAsia" w:ascii="仿宋" w:hAnsi="仿宋" w:eastAsia="仿宋" w:cs="仿宋"/>
          <w:color w:val="000000" w:themeColor="text1"/>
          <w:spacing w:val="-2"/>
          <w:kern w:val="0"/>
          <w:sz w:val="21"/>
          <w:szCs w:val="21"/>
          <w:highlight w:val="none"/>
          <w14:textFill>
            <w14:solidFill>
              <w14:schemeClr w14:val="tx1"/>
            </w14:solidFill>
          </w14:textFill>
        </w:rPr>
        <w:t>，在西安市财政局政府采购管理处的监督管理下，由</w:t>
      </w:r>
      <w:r>
        <w:rPr>
          <w:rFonts w:hint="eastAsia" w:ascii="仿宋" w:hAnsi="仿宋" w:eastAsia="仿宋" w:cs="仿宋"/>
          <w:color w:val="000000" w:themeColor="text1"/>
          <w:spacing w:val="-2"/>
          <w:kern w:val="0"/>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pacing w:val="-2"/>
          <w:kern w:val="0"/>
          <w:sz w:val="21"/>
          <w:szCs w:val="21"/>
          <w:highlight w:val="none"/>
          <w14:textFill>
            <w14:solidFill>
              <w14:schemeClr w14:val="tx1"/>
            </w14:solidFill>
          </w14:textFill>
        </w:rPr>
        <w:t>组织依法招标。</w:t>
      </w:r>
      <w:r>
        <w:rPr>
          <w:rFonts w:hint="eastAsia" w:ascii="仿宋" w:hAnsi="仿宋" w:eastAsia="仿宋" w:cs="仿宋"/>
          <w:color w:val="000000" w:themeColor="text1"/>
          <w:spacing w:val="-2"/>
          <w:kern w:val="0"/>
          <w:sz w:val="21"/>
          <w:szCs w:val="21"/>
          <w:highlight w:val="none"/>
          <w:u w:val="single"/>
          <w:lang w:eastAsia="zh-CN"/>
          <w14:textFill>
            <w14:solidFill>
              <w14:schemeClr w14:val="tx1"/>
            </w14:solidFill>
          </w14:textFill>
        </w:rPr>
        <w:t>西安职业技术学院</w:t>
      </w:r>
      <w:r>
        <w:rPr>
          <w:rFonts w:hint="eastAsia" w:ascii="仿宋" w:hAnsi="仿宋" w:eastAsia="仿宋" w:cs="仿宋"/>
          <w:color w:val="000000" w:themeColor="text1"/>
          <w:spacing w:val="-2"/>
          <w:kern w:val="0"/>
          <w:sz w:val="21"/>
          <w:szCs w:val="21"/>
          <w:highlight w:val="none"/>
          <w14:textFill>
            <w14:solidFill>
              <w14:schemeClr w14:val="tx1"/>
            </w14:solidFill>
          </w14:textFill>
        </w:rPr>
        <w:t>(以下简称“买方”)确定</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中标</w:t>
      </w:r>
      <w:r>
        <w:rPr>
          <w:rFonts w:hint="eastAsia" w:ascii="仿宋" w:hAnsi="仿宋" w:eastAsia="仿宋" w:cs="仿宋"/>
          <w:color w:val="000000" w:themeColor="text1"/>
          <w:sz w:val="21"/>
          <w:szCs w:val="21"/>
          <w:highlight w:val="none"/>
          <w:u w:val="single"/>
          <w14:textFill>
            <w14:solidFill>
              <w14:schemeClr w14:val="tx1"/>
            </w14:solidFill>
          </w14:textFill>
        </w:rPr>
        <w:t xml:space="preserve">供应商名称) </w:t>
      </w:r>
      <w:r>
        <w:rPr>
          <w:rFonts w:hint="eastAsia" w:ascii="仿宋" w:hAnsi="仿宋" w:eastAsia="仿宋" w:cs="仿宋"/>
          <w:color w:val="000000" w:themeColor="text1"/>
          <w:spacing w:val="-2"/>
          <w:kern w:val="0"/>
          <w:sz w:val="21"/>
          <w:szCs w:val="21"/>
          <w:highlight w:val="none"/>
          <w14:textFill>
            <w14:solidFill>
              <w14:schemeClr w14:val="tx1"/>
            </w14:solidFill>
          </w14:textFill>
        </w:rPr>
        <w:t>（以下简称“卖方”）为成交供应商</w:t>
      </w:r>
      <w:r>
        <w:rPr>
          <w:rFonts w:hint="eastAsia" w:ascii="仿宋" w:hAnsi="仿宋" w:eastAsia="仿宋" w:cs="仿宋"/>
          <w:color w:val="000000" w:themeColor="text1"/>
          <w:sz w:val="21"/>
          <w:szCs w:val="21"/>
          <w:highlight w:val="none"/>
          <w14:textFill>
            <w14:solidFill>
              <w14:schemeClr w14:val="tx1"/>
            </w14:solidFill>
          </w14:textFill>
        </w:rPr>
        <w:t>，其规模为</w:t>
      </w:r>
      <w:r>
        <w:rPr>
          <w:rFonts w:hint="eastAsia" w:ascii="仿宋" w:hAnsi="仿宋" w:eastAsia="仿宋" w:cs="仿宋"/>
          <w:color w:val="000000" w:themeColor="text1"/>
          <w:sz w:val="21"/>
          <w:szCs w:val="21"/>
          <w:highlight w:val="none"/>
          <w:u w:val="single"/>
          <w14:textFill>
            <w14:solidFill>
              <w14:schemeClr w14:val="tx1"/>
            </w14:solidFill>
          </w14:textFill>
        </w:rPr>
        <w:t>大型企业、中型企业、小型企业、小微企业</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pacing w:val="-2"/>
          <w:kern w:val="0"/>
          <w:sz w:val="21"/>
          <w:szCs w:val="21"/>
          <w:highlight w:val="none"/>
          <w14:textFill>
            <w14:solidFill>
              <w14:schemeClr w14:val="tx1"/>
            </w14:solidFill>
          </w14:textFill>
        </w:rPr>
        <w:t xml:space="preserve"> </w:t>
      </w:r>
    </w:p>
    <w:p w14:paraId="7F03AD13">
      <w:pPr>
        <w:kinsoku/>
        <w:wordWrap/>
        <w:overflowPunct/>
        <w:topLinePunct w:val="0"/>
        <w:bidi w:val="0"/>
        <w:spacing w:line="300" w:lineRule="auto"/>
        <w:ind w:firstLine="412" w:firstLineChars="200"/>
        <w:rPr>
          <w:rFonts w:hint="eastAsia" w:ascii="仿宋" w:hAnsi="仿宋" w:eastAsia="仿宋" w:cs="仿宋"/>
          <w:color w:val="000000" w:themeColor="text1"/>
          <w:spacing w:val="-2"/>
          <w:kern w:val="0"/>
          <w:sz w:val="21"/>
          <w:szCs w:val="21"/>
          <w:highlight w:val="none"/>
          <w14:textFill>
            <w14:solidFill>
              <w14:schemeClr w14:val="tx1"/>
            </w14:solidFill>
          </w14:textFill>
        </w:rPr>
      </w:pPr>
      <w:r>
        <w:rPr>
          <w:rFonts w:hint="eastAsia" w:ascii="仿宋" w:hAnsi="仿宋" w:eastAsia="仿宋" w:cs="仿宋"/>
          <w:color w:val="000000" w:themeColor="text1"/>
          <w:spacing w:val="-2"/>
          <w:kern w:val="0"/>
          <w:sz w:val="21"/>
          <w:szCs w:val="21"/>
          <w:highlight w:val="none"/>
          <w14:textFill>
            <w14:solidFill>
              <w14:schemeClr w14:val="tx1"/>
            </w14:solidFill>
          </w14:textFill>
        </w:rPr>
        <w:t>依据《中华人民共和国民法典》和《中华人民共和国政府采购法》等规定，买方通过依法采购接受了卖方以价格（大写）：人民币</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pacing w:val="-2"/>
          <w:kern w:val="0"/>
          <w:sz w:val="21"/>
          <w:szCs w:val="21"/>
          <w:highlight w:val="none"/>
          <w14:textFill>
            <w14:solidFill>
              <w14:schemeClr w14:val="tx1"/>
            </w14:solidFill>
          </w14:textFill>
        </w:rPr>
        <w:t>(以下简称“合同价”)提供的货物及配套服务、施工</w:t>
      </w:r>
      <w:r>
        <w:rPr>
          <w:rFonts w:hint="eastAsia" w:ascii="仿宋" w:hAnsi="仿宋" w:eastAsia="仿宋" w:cs="仿宋"/>
          <w:color w:val="000000" w:themeColor="text1"/>
          <w:sz w:val="21"/>
          <w:szCs w:val="21"/>
          <w:highlight w:val="none"/>
          <w14:textFill>
            <w14:solidFill>
              <w14:schemeClr w14:val="tx1"/>
            </w14:solidFill>
          </w14:textFill>
        </w:rPr>
        <w:t>，买方经办人</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,联系电话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；卖方经办人</w:t>
      </w:r>
      <w:r>
        <w:rPr>
          <w:rFonts w:hint="eastAsia" w:ascii="仿宋" w:hAnsi="仿宋" w:eastAsia="仿宋" w:cs="仿宋"/>
          <w:color w:val="000000" w:themeColor="text1"/>
          <w:sz w:val="21"/>
          <w:szCs w:val="21"/>
          <w:highlight w:val="none"/>
          <w:u w:val="single"/>
          <w14:textFill>
            <w14:solidFill>
              <w14:schemeClr w14:val="tx1"/>
            </w14:solidFill>
          </w14:textFill>
        </w:rPr>
        <w:t>_______</w:t>
      </w:r>
      <w:r>
        <w:rPr>
          <w:rFonts w:hint="eastAsia" w:ascii="仿宋" w:hAnsi="仿宋" w:eastAsia="仿宋" w:cs="仿宋"/>
          <w:color w:val="000000" w:themeColor="text1"/>
          <w:sz w:val="21"/>
          <w:szCs w:val="21"/>
          <w:highlight w:val="none"/>
          <w14:textFill>
            <w14:solidFill>
              <w14:schemeClr w14:val="tx1"/>
            </w14:solidFill>
          </w14:textFill>
        </w:rPr>
        <w:t>,联系电话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4B13A392">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本合同在此声明如下：</w:t>
      </w:r>
    </w:p>
    <w:p w14:paraId="4B76F792">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1、本合同中的词语和术语的含义与合同条款中定义的相同。</w:t>
      </w:r>
    </w:p>
    <w:p w14:paraId="2E048C95">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2、下述文件是本合同的一部分，并与本合同一起阅读和解释：</w:t>
      </w:r>
    </w:p>
    <w:p w14:paraId="7F920339">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1）合同条款</w:t>
      </w:r>
    </w:p>
    <w:p w14:paraId="1F928C68">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2）合同条款附件</w:t>
      </w:r>
    </w:p>
    <w:p w14:paraId="54213E6F">
      <w:pPr>
        <w:kinsoku/>
        <w:wordWrap/>
        <w:overflowPunct/>
        <w:topLinePunct w:val="0"/>
        <w:bidi w:val="0"/>
        <w:spacing w:line="300" w:lineRule="auto"/>
        <w:ind w:firstLine="735" w:firstLineChars="35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附件1—货物清单（必须提供）</w:t>
      </w:r>
    </w:p>
    <w:p w14:paraId="1A64FB33">
      <w:pPr>
        <w:kinsoku/>
        <w:wordWrap/>
        <w:overflowPunct/>
        <w:topLinePunct w:val="0"/>
        <w:bidi w:val="0"/>
        <w:spacing w:line="300" w:lineRule="auto"/>
        <w:ind w:firstLine="735" w:firstLineChars="35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附件2—质量保证承诺（必须提供）</w:t>
      </w:r>
    </w:p>
    <w:p w14:paraId="2F0582F5">
      <w:pPr>
        <w:kinsoku/>
        <w:wordWrap/>
        <w:overflowPunct/>
        <w:topLinePunct w:val="0"/>
        <w:bidi w:val="0"/>
        <w:spacing w:line="300" w:lineRule="auto"/>
        <w:ind w:firstLine="735" w:firstLineChars="35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附件3—售后服务方案（必须提供）</w:t>
      </w:r>
    </w:p>
    <w:p w14:paraId="017DCA06">
      <w:pPr>
        <w:kinsoku/>
        <w:wordWrap/>
        <w:overflowPunct/>
        <w:topLinePunct w:val="0"/>
        <w:bidi w:val="0"/>
        <w:spacing w:line="300" w:lineRule="auto"/>
        <w:ind w:firstLine="735" w:firstLineChars="35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附件4—培训计划（若需培训，必须提供）</w:t>
      </w:r>
    </w:p>
    <w:p w14:paraId="51BBF390">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w:t>
      </w:r>
      <w:r>
        <w:rPr>
          <w:rFonts w:hint="eastAsia" w:ascii="仿宋" w:hAnsi="仿宋" w:eastAsia="仿宋" w:cs="仿宋"/>
          <w:color w:val="000000" w:themeColor="text1"/>
          <w:sz w:val="21"/>
          <w:szCs w:val="21"/>
          <w:highlight w:val="none"/>
          <w:lang w:val="en-US" w:eastAsia="zh-CN"/>
          <w14:textFill>
            <w14:solidFill>
              <w14:schemeClr w14:val="tx1"/>
            </w14:solidFill>
          </w14:textFill>
        </w:rPr>
        <w:t>中标</w:t>
      </w:r>
      <w:r>
        <w:rPr>
          <w:rFonts w:hint="eastAsia" w:ascii="仿宋" w:hAnsi="仿宋" w:eastAsia="仿宋" w:cs="仿宋"/>
          <w:color w:val="000000" w:themeColor="text1"/>
          <w:sz w:val="21"/>
          <w:szCs w:val="21"/>
          <w:highlight w:val="none"/>
          <w14:textFill>
            <w14:solidFill>
              <w14:schemeClr w14:val="tx1"/>
            </w14:solidFill>
          </w14:textFill>
        </w:rPr>
        <w:t>通知书</w:t>
      </w:r>
    </w:p>
    <w:p w14:paraId="327BBBAC">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4）买方招标文件</w:t>
      </w:r>
    </w:p>
    <w:p w14:paraId="4FDB8B0D">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5）卖方投标文件</w:t>
      </w:r>
    </w:p>
    <w:p w14:paraId="34725C32">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3、考虑到买方将按照本合同向卖方支付货款，卖方在此保证全部按照合同的规定向买方提供货物和服务，并修补缺陷。</w:t>
      </w:r>
    </w:p>
    <w:p w14:paraId="2247C847">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4、考虑到卖方提供的货物和服务并修补缺陷，买方在此保证按照合同规定时间和方式向卖方支付合同价或其他按合同规定应支付的金额。</w:t>
      </w:r>
    </w:p>
    <w:p w14:paraId="7D508462">
      <w:pPr>
        <w:widowControl/>
        <w:kinsoku/>
        <w:wordWrap/>
        <w:overflowPunct/>
        <w:topLinePunct w:val="0"/>
        <w:bidi w:val="0"/>
        <w:spacing w:line="300" w:lineRule="auto"/>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、付款方式：</w:t>
      </w:r>
    </w:p>
    <w:p w14:paraId="443D3503">
      <w:pPr>
        <w:widowControl/>
        <w:kinsoku/>
        <w:wordWrap/>
        <w:overflowPunct/>
        <w:topLinePunct w:val="0"/>
        <w:bidi w:val="0"/>
        <w:spacing w:line="300" w:lineRule="auto"/>
        <w:ind w:firstLine="420" w:firstLineChars="20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5.1合同签订后【10】个工作日内甲方向乙方支付货物预付款，预付款金额为合同合同总价的40%，人民币：</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w:t>
      </w:r>
      <w:r>
        <w:rPr>
          <w:rFonts w:hint="eastAsia" w:ascii="仿宋" w:hAnsi="仿宋" w:eastAsia="仿宋" w:cs="仿宋"/>
          <w:color w:val="000000" w:themeColor="text1"/>
          <w:sz w:val="21"/>
          <w:szCs w:val="21"/>
          <w:highlight w:val="none"/>
          <w:lang w:val="en-US" w:eastAsia="zh-CN"/>
          <w14:textFill>
            <w14:solidFill>
              <w14:schemeClr w14:val="tx1"/>
            </w14:solidFill>
          </w14:textFill>
        </w:rPr>
        <w:t>元；</w:t>
      </w:r>
    </w:p>
    <w:p w14:paraId="33871697">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5.2</w:t>
      </w:r>
      <w:r>
        <w:rPr>
          <w:rFonts w:hint="eastAsia" w:ascii="仿宋" w:hAnsi="仿宋" w:eastAsia="仿宋" w:cs="仿宋"/>
          <w:color w:val="000000" w:themeColor="text1"/>
          <w:sz w:val="21"/>
          <w:szCs w:val="21"/>
          <w:highlight w:val="none"/>
          <w14:textFill>
            <w14:solidFill>
              <w14:schemeClr w14:val="tx1"/>
            </w14:solidFill>
          </w14:textFill>
        </w:rPr>
        <w:t>设备安装调试完毕并经验收合格后</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天内，卖方持《验收合格单》原件及全额发票在买方处办理货款支付手续</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买方收到乙方提供的合格增值税发票后【10】个工作日内向乙方支付剩余全部货款</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如果卖方未能按时交付货物或提供服务，买方有权延迟付款或解除合同，并要求卖方承担违约金。</w:t>
      </w:r>
    </w:p>
    <w:p w14:paraId="272D8595">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、交货期：自合同签订后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个日历日。</w:t>
      </w:r>
    </w:p>
    <w:p w14:paraId="186A662B">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交货地点：</w:t>
      </w:r>
      <w:r>
        <w:rPr>
          <w:rFonts w:hint="eastAsia" w:ascii="仿宋" w:hAnsi="仿宋" w:eastAsia="仿宋" w:cs="仿宋"/>
          <w:color w:val="000000" w:themeColor="text1"/>
          <w:sz w:val="21"/>
          <w:szCs w:val="21"/>
          <w:highlight w:val="none"/>
          <w:lang w:eastAsia="zh-CN"/>
          <w14:textFill>
            <w14:solidFill>
              <w14:schemeClr w14:val="tx1"/>
            </w14:solidFill>
          </w14:textFill>
        </w:rPr>
        <w:t>西安职业技术学院</w:t>
      </w:r>
      <w:r>
        <w:rPr>
          <w:rFonts w:hint="eastAsia" w:ascii="仿宋" w:hAnsi="仿宋" w:eastAsia="仿宋" w:cs="仿宋"/>
          <w:color w:val="000000" w:themeColor="text1"/>
          <w:sz w:val="21"/>
          <w:szCs w:val="21"/>
          <w:highlight w:val="none"/>
          <w14:textFill>
            <w14:solidFill>
              <w14:schemeClr w14:val="tx1"/>
            </w14:solidFill>
          </w14:textFill>
        </w:rPr>
        <w:t>指定地点</w:t>
      </w:r>
    </w:p>
    <w:p w14:paraId="44DE4C93">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、本合同</w:t>
      </w:r>
      <w:r>
        <w:rPr>
          <w:rFonts w:hint="eastAsia" w:ascii="仿宋" w:hAnsi="仿宋" w:eastAsia="仿宋" w:cs="仿宋"/>
          <w:color w:val="000000" w:themeColor="text1"/>
          <w:sz w:val="21"/>
          <w:szCs w:val="21"/>
          <w:highlight w:val="none"/>
          <w:lang w:val="en-US" w:eastAsia="zh-CN"/>
          <w14:textFill>
            <w14:solidFill>
              <w14:schemeClr w14:val="tx1"/>
            </w14:solidFill>
          </w14:textFill>
        </w:rPr>
        <w:t>壹</w:t>
      </w:r>
      <w:r>
        <w:rPr>
          <w:rFonts w:hint="eastAsia" w:ascii="仿宋" w:hAnsi="仿宋" w:eastAsia="仿宋" w:cs="仿宋"/>
          <w:color w:val="000000" w:themeColor="text1"/>
          <w:sz w:val="21"/>
          <w:szCs w:val="21"/>
          <w:highlight w:val="none"/>
          <w14:textFill>
            <w14:solidFill>
              <w14:schemeClr w14:val="tx1"/>
            </w14:solidFill>
          </w14:textFill>
        </w:rPr>
        <w:t>式柒份，其中，买方伍份，卖方壹份，代理机构壹份每份均具有同等法律效力。</w:t>
      </w:r>
    </w:p>
    <w:p w14:paraId="796047C7">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、本合同由买卖双方法定代表人/授权代表共同签字并加盖公章/合同专用章之日起生效。</w:t>
      </w:r>
    </w:p>
    <w:p w14:paraId="52478BA1">
      <w:pPr>
        <w:rPr>
          <w:rFonts w:hint="eastAsia" w:ascii="仿宋" w:hAnsi="仿宋" w:eastAsia="仿宋" w:cs="仿宋"/>
          <w:color w:val="000000" w:themeColor="text1"/>
          <w:sz w:val="22"/>
          <w:szCs w:val="22"/>
          <w:highlight w:val="none"/>
          <w:lang w:eastAsia="zh-CN"/>
          <w14:textFill>
            <w14:solidFill>
              <w14:schemeClr w14:val="tx1"/>
            </w14:solidFill>
          </w14:textFill>
        </w:rPr>
      </w:pPr>
      <w:r>
        <w:rPr>
          <w:rFonts w:hint="eastAsia" w:ascii="仿宋" w:hAnsi="仿宋" w:eastAsia="仿宋" w:cs="仿宋"/>
          <w:color w:val="000000" w:themeColor="text1"/>
          <w:sz w:val="22"/>
          <w:szCs w:val="22"/>
          <w:highlight w:val="none"/>
          <w:lang w:eastAsia="zh-CN"/>
          <w14:textFill>
            <w14:solidFill>
              <w14:schemeClr w14:val="tx1"/>
            </w14:solidFill>
          </w14:textFill>
        </w:rPr>
        <w:br w:type="page"/>
      </w:r>
    </w:p>
    <w:p w14:paraId="0B0D2B2D">
      <w:pPr>
        <w:kinsoku/>
        <w:wordWrap/>
        <w:overflowPunct/>
        <w:topLinePunct w:val="0"/>
        <w:bidi w:val="0"/>
        <w:spacing w:line="300" w:lineRule="auto"/>
        <w:ind w:firstLine="440" w:firstLineChars="200"/>
        <w:jc w:val="center"/>
        <w:rPr>
          <w:rFonts w:hint="eastAsia" w:ascii="仿宋" w:hAnsi="仿宋" w:eastAsia="仿宋" w:cs="仿宋"/>
          <w:color w:val="000000" w:themeColor="text1"/>
          <w:sz w:val="22"/>
          <w:szCs w:val="22"/>
          <w:highlight w:val="none"/>
          <w:lang w:val="en-US" w:eastAsia="zh-CN"/>
          <w14:textFill>
            <w14:solidFill>
              <w14:schemeClr w14:val="tx1"/>
            </w14:solidFill>
          </w14:textFill>
        </w:rPr>
      </w:pPr>
      <w:r>
        <w:rPr>
          <w:rFonts w:hint="eastAsia" w:ascii="仿宋" w:hAnsi="仿宋" w:eastAsia="仿宋" w:cs="仿宋"/>
          <w:color w:val="000000" w:themeColor="text1"/>
          <w:sz w:val="22"/>
          <w:szCs w:val="22"/>
          <w:highlight w:val="none"/>
          <w:lang w:eastAsia="zh-CN"/>
          <w14:textFill>
            <w14:solidFill>
              <w14:schemeClr w14:val="tx1"/>
            </w14:solidFill>
          </w14:textFill>
        </w:rPr>
        <w:t>（</w:t>
      </w:r>
      <w:r>
        <w:rPr>
          <w:rFonts w:hint="eastAsia" w:ascii="仿宋" w:hAnsi="仿宋" w:eastAsia="仿宋" w:cs="仿宋"/>
          <w:color w:val="000000" w:themeColor="text1"/>
          <w:sz w:val="22"/>
          <w:szCs w:val="22"/>
          <w:highlight w:val="none"/>
          <w:lang w:val="en-US" w:eastAsia="zh-CN"/>
          <w14:textFill>
            <w14:solidFill>
              <w14:schemeClr w14:val="tx1"/>
            </w14:solidFill>
          </w14:textFill>
        </w:rPr>
        <w:t>此页无正文）</w:t>
      </w:r>
    </w:p>
    <w:tbl>
      <w:tblPr>
        <w:tblStyle w:val="6"/>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359261C8">
        <w:trPr>
          <w:trHeight w:val="3561" w:hRule="atLeast"/>
        </w:trPr>
        <w:tc>
          <w:tcPr>
            <w:tcW w:w="4803" w:type="dxa"/>
            <w:tcMar>
              <w:top w:w="113" w:type="dxa"/>
              <w:left w:w="113" w:type="dxa"/>
              <w:bottom w:w="113" w:type="dxa"/>
              <w:right w:w="113" w:type="dxa"/>
            </w:tcMar>
          </w:tcPr>
          <w:p w14:paraId="55891E91">
            <w:pPr>
              <w:kinsoku/>
              <w:wordWrap/>
              <w:overflowPunct/>
              <w:topLinePunct w:val="0"/>
              <w:bidi w:val="0"/>
              <w:spacing w:line="300" w:lineRule="auto"/>
              <w:ind w:firstLine="220" w:firstLineChars="1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买方名称：</w:t>
            </w:r>
            <w:r>
              <w:rPr>
                <w:rFonts w:hint="eastAsia" w:ascii="仿宋" w:hAnsi="仿宋" w:eastAsia="仿宋" w:cs="仿宋"/>
                <w:color w:val="000000" w:themeColor="text1"/>
                <w:sz w:val="22"/>
                <w:szCs w:val="22"/>
                <w:highlight w:val="none"/>
                <w:lang w:eastAsia="zh-CN"/>
                <w14:textFill>
                  <w14:solidFill>
                    <w14:schemeClr w14:val="tx1"/>
                  </w14:solidFill>
                </w14:textFill>
              </w:rPr>
              <w:t>西安职业技术学院</w:t>
            </w:r>
            <w:r>
              <w:rPr>
                <w:rFonts w:hint="eastAsia" w:ascii="仿宋" w:hAnsi="仿宋" w:eastAsia="仿宋" w:cs="仿宋"/>
                <w:color w:val="000000" w:themeColor="text1"/>
                <w:sz w:val="22"/>
                <w:szCs w:val="22"/>
                <w:highlight w:val="none"/>
                <w14:textFill>
                  <w14:solidFill>
                    <w14:schemeClr w14:val="tx1"/>
                  </w14:solidFill>
                </w14:textFill>
              </w:rPr>
              <w:t xml:space="preserve"> </w:t>
            </w:r>
          </w:p>
          <w:p w14:paraId="5DAFB697">
            <w:pPr>
              <w:kinsoku/>
              <w:wordWrap/>
              <w:overflowPunct/>
              <w:topLinePunct w:val="0"/>
              <w:bidi w:val="0"/>
              <w:spacing w:line="300" w:lineRule="auto"/>
              <w:ind w:firstLine="220" w:firstLineChars="1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地址：</w:t>
            </w:r>
          </w:p>
          <w:p w14:paraId="2E843A37">
            <w:pPr>
              <w:kinsoku/>
              <w:wordWrap/>
              <w:overflowPunct/>
              <w:topLinePunct w:val="0"/>
              <w:bidi w:val="0"/>
              <w:spacing w:line="300" w:lineRule="auto"/>
              <w:ind w:firstLine="220" w:firstLineChars="100"/>
              <w:rPr>
                <w:rFonts w:hint="eastAsia" w:ascii="仿宋" w:hAnsi="仿宋" w:eastAsia="仿宋" w:cs="仿宋"/>
                <w:color w:val="000000" w:themeColor="text1"/>
                <w:sz w:val="22"/>
                <w:szCs w:val="22"/>
                <w:highlight w:val="none"/>
                <w14:textFill>
                  <w14:solidFill>
                    <w14:schemeClr w14:val="tx1"/>
                  </w14:solidFill>
                </w14:textFill>
              </w:rPr>
            </w:pPr>
          </w:p>
          <w:p w14:paraId="79B8BEF0">
            <w:pPr>
              <w:kinsoku/>
              <w:wordWrap/>
              <w:overflowPunct/>
              <w:topLinePunct w:val="0"/>
              <w:bidi w:val="0"/>
              <w:spacing w:line="300" w:lineRule="auto"/>
              <w:ind w:firstLine="220" w:firstLineChars="100"/>
              <w:rPr>
                <w:rFonts w:hint="eastAsia" w:ascii="仿宋" w:hAnsi="仿宋" w:eastAsia="仿宋" w:cs="仿宋"/>
                <w:color w:val="000000" w:themeColor="text1"/>
                <w:sz w:val="22"/>
                <w:szCs w:val="22"/>
                <w:highlight w:val="none"/>
                <w14:textFill>
                  <w14:solidFill>
                    <w14:schemeClr w14:val="tx1"/>
                  </w14:solidFill>
                </w14:textFill>
              </w:rPr>
            </w:pPr>
          </w:p>
          <w:p w14:paraId="77F9E19F">
            <w:pPr>
              <w:kinsoku/>
              <w:wordWrap/>
              <w:overflowPunct/>
              <w:topLinePunct w:val="0"/>
              <w:bidi w:val="0"/>
              <w:spacing w:line="300" w:lineRule="auto"/>
              <w:ind w:firstLine="220" w:firstLineChars="100"/>
              <w:rPr>
                <w:rFonts w:hint="eastAsia" w:ascii="仿宋" w:hAnsi="仿宋" w:eastAsia="仿宋" w:cs="仿宋"/>
                <w:color w:val="000000" w:themeColor="text1"/>
                <w:sz w:val="22"/>
                <w:szCs w:val="22"/>
                <w:highlight w:val="none"/>
                <w14:textFill>
                  <w14:solidFill>
                    <w14:schemeClr w14:val="tx1"/>
                  </w14:solidFill>
                </w14:textFill>
              </w:rPr>
            </w:pPr>
          </w:p>
          <w:p w14:paraId="14B77417">
            <w:pPr>
              <w:kinsoku/>
              <w:wordWrap/>
              <w:overflowPunct/>
              <w:topLinePunct w:val="0"/>
              <w:bidi w:val="0"/>
              <w:spacing w:line="300" w:lineRule="auto"/>
              <w:ind w:firstLine="220" w:firstLineChars="1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法定代表人/授权代表签字：</w:t>
            </w:r>
          </w:p>
          <w:p w14:paraId="5CED4123">
            <w:pPr>
              <w:kinsoku/>
              <w:wordWrap/>
              <w:overflowPunct/>
              <w:topLinePunct w:val="0"/>
              <w:bidi w:val="0"/>
              <w:spacing w:line="300" w:lineRule="auto"/>
              <w:ind w:firstLine="220" w:firstLineChars="1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盖章：</w:t>
            </w:r>
          </w:p>
          <w:p w14:paraId="14E8D10E">
            <w:pPr>
              <w:kinsoku/>
              <w:wordWrap/>
              <w:overflowPunct/>
              <w:topLinePunct w:val="0"/>
              <w:bidi w:val="0"/>
              <w:spacing w:line="300" w:lineRule="auto"/>
              <w:ind w:firstLine="440" w:firstLineChars="2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 xml:space="preserve">               </w:t>
            </w:r>
          </w:p>
          <w:p w14:paraId="42A8CACC">
            <w:pPr>
              <w:kinsoku/>
              <w:wordWrap/>
              <w:overflowPunct/>
              <w:topLinePunct w:val="0"/>
              <w:bidi w:val="0"/>
              <w:spacing w:line="300" w:lineRule="auto"/>
              <w:ind w:firstLine="220" w:firstLineChars="1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年</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月</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 xml:space="preserve">日     </w:t>
            </w:r>
          </w:p>
        </w:tc>
        <w:tc>
          <w:tcPr>
            <w:tcW w:w="4615" w:type="dxa"/>
            <w:tcMar>
              <w:top w:w="113" w:type="dxa"/>
              <w:left w:w="113" w:type="dxa"/>
              <w:bottom w:w="113" w:type="dxa"/>
              <w:right w:w="113" w:type="dxa"/>
            </w:tcMar>
          </w:tcPr>
          <w:p w14:paraId="6078BD3D">
            <w:pPr>
              <w:kinsoku/>
              <w:wordWrap/>
              <w:overflowPunct/>
              <w:topLinePunct w:val="0"/>
              <w:bidi w:val="0"/>
              <w:spacing w:line="300" w:lineRule="auto"/>
              <w:ind w:firstLine="660" w:firstLineChars="3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 xml:space="preserve">卖方名称： </w:t>
            </w:r>
          </w:p>
          <w:p w14:paraId="653D95E1">
            <w:pPr>
              <w:kinsoku/>
              <w:wordWrap/>
              <w:overflowPunct/>
              <w:topLinePunct w:val="0"/>
              <w:bidi w:val="0"/>
              <w:spacing w:line="300" w:lineRule="auto"/>
              <w:ind w:firstLine="660" w:firstLineChars="3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地址：</w:t>
            </w:r>
          </w:p>
          <w:p w14:paraId="5D3E3C21">
            <w:pPr>
              <w:kinsoku/>
              <w:wordWrap/>
              <w:overflowPunct/>
              <w:topLinePunct w:val="0"/>
              <w:bidi w:val="0"/>
              <w:spacing w:line="300" w:lineRule="auto"/>
              <w:ind w:firstLine="660" w:firstLineChars="3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电话：</w:t>
            </w:r>
          </w:p>
          <w:p w14:paraId="0186CAD6">
            <w:pPr>
              <w:kinsoku/>
              <w:wordWrap/>
              <w:overflowPunct/>
              <w:topLinePunct w:val="0"/>
              <w:bidi w:val="0"/>
              <w:spacing w:line="300" w:lineRule="auto"/>
              <w:ind w:firstLine="660" w:firstLineChars="3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 xml:space="preserve">开户银行： </w:t>
            </w:r>
          </w:p>
          <w:p w14:paraId="2B203289">
            <w:pPr>
              <w:kinsoku/>
              <w:wordWrap/>
              <w:overflowPunct/>
              <w:topLinePunct w:val="0"/>
              <w:bidi w:val="0"/>
              <w:spacing w:line="300" w:lineRule="auto"/>
              <w:ind w:firstLine="660" w:firstLineChars="3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 xml:space="preserve">账号： </w:t>
            </w:r>
          </w:p>
          <w:p w14:paraId="0D3F6D7E">
            <w:pPr>
              <w:kinsoku/>
              <w:wordWrap/>
              <w:overflowPunct/>
              <w:topLinePunct w:val="0"/>
              <w:bidi w:val="0"/>
              <w:spacing w:line="300" w:lineRule="auto"/>
              <w:ind w:firstLine="660" w:firstLineChars="3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法定代表人/授权代表签字：</w:t>
            </w:r>
          </w:p>
          <w:p w14:paraId="555830D5">
            <w:pPr>
              <w:kinsoku/>
              <w:wordWrap/>
              <w:overflowPunct/>
              <w:topLinePunct w:val="0"/>
              <w:bidi w:val="0"/>
              <w:spacing w:line="300" w:lineRule="auto"/>
              <w:ind w:firstLine="660" w:firstLineChars="3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盖章：</w:t>
            </w:r>
          </w:p>
          <w:p w14:paraId="33564A76">
            <w:pPr>
              <w:kinsoku/>
              <w:wordWrap/>
              <w:overflowPunct/>
              <w:topLinePunct w:val="0"/>
              <w:bidi w:val="0"/>
              <w:spacing w:line="300" w:lineRule="auto"/>
              <w:ind w:firstLine="440" w:firstLineChars="2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 xml:space="preserve">          </w:t>
            </w:r>
          </w:p>
          <w:p w14:paraId="10736264">
            <w:pPr>
              <w:kinsoku/>
              <w:wordWrap/>
              <w:overflowPunct/>
              <w:topLinePunct w:val="0"/>
              <w:bidi w:val="0"/>
              <w:spacing w:line="300" w:lineRule="auto"/>
              <w:ind w:firstLine="660" w:firstLineChars="300"/>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年</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月</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日</w:t>
            </w:r>
          </w:p>
        </w:tc>
      </w:tr>
    </w:tbl>
    <w:p w14:paraId="0212567A">
      <w:pPr>
        <w:kinsoku/>
        <w:wordWrap/>
        <w:overflowPunct/>
        <w:topLinePunct w:val="0"/>
        <w:autoSpaceDE w:val="0"/>
        <w:autoSpaceDN w:val="0"/>
        <w:bidi w:val="0"/>
        <w:spacing w:line="300" w:lineRule="auto"/>
        <w:rPr>
          <w:rFonts w:hint="eastAsia" w:ascii="仿宋" w:hAnsi="仿宋" w:eastAsia="仿宋" w:cs="仿宋"/>
          <w:color w:val="000000" w:themeColor="text1"/>
          <w:sz w:val="22"/>
          <w:szCs w:val="22"/>
          <w:highlight w:val="none"/>
          <w14:textFill>
            <w14:solidFill>
              <w14:schemeClr w14:val="tx1"/>
            </w14:solidFill>
          </w14:textFill>
        </w:rPr>
      </w:pPr>
    </w:p>
    <w:p w14:paraId="2B74E643">
      <w:pPr>
        <w:kinsoku/>
        <w:wordWrap/>
        <w:overflowPunct/>
        <w:topLinePunct w:val="0"/>
        <w:autoSpaceDE w:val="0"/>
        <w:autoSpaceDN w:val="0"/>
        <w:bidi w:val="0"/>
        <w:spacing w:line="300" w:lineRule="auto"/>
        <w:rPr>
          <w:rFonts w:hint="eastAsia" w:ascii="仿宋" w:hAnsi="仿宋" w:eastAsia="仿宋" w:cs="仿宋"/>
          <w:color w:val="000000" w:themeColor="text1"/>
          <w:sz w:val="22"/>
          <w:szCs w:val="22"/>
          <w:highlight w:val="none"/>
          <w14:textFill>
            <w14:solidFill>
              <w14:schemeClr w14:val="tx1"/>
            </w14:solidFill>
          </w14:textFill>
        </w:rPr>
      </w:pPr>
    </w:p>
    <w:p w14:paraId="722CF0C9">
      <w:pPr>
        <w:kinsoku/>
        <w:wordWrap/>
        <w:overflowPunct/>
        <w:topLinePunct w:val="0"/>
        <w:autoSpaceDE w:val="0"/>
        <w:autoSpaceDN w:val="0"/>
        <w:bidi w:val="0"/>
        <w:spacing w:line="300" w:lineRule="auto"/>
        <w:rPr>
          <w:rFonts w:hint="eastAsia" w:ascii="仿宋" w:hAnsi="仿宋" w:eastAsia="仿宋" w:cs="仿宋"/>
          <w:color w:val="000000" w:themeColor="text1"/>
          <w:sz w:val="22"/>
          <w:szCs w:val="22"/>
          <w:highlight w:val="none"/>
          <w14:textFill>
            <w14:solidFill>
              <w14:schemeClr w14:val="tx1"/>
            </w14:solidFill>
          </w14:textFill>
        </w:rPr>
      </w:pPr>
    </w:p>
    <w:p w14:paraId="01371D0E">
      <w:pPr>
        <w:kinsoku/>
        <w:wordWrap/>
        <w:overflowPunct/>
        <w:topLinePunct w:val="0"/>
        <w:autoSpaceDE w:val="0"/>
        <w:autoSpaceDN w:val="0"/>
        <w:bidi w:val="0"/>
        <w:spacing w:line="300" w:lineRule="auto"/>
        <w:rPr>
          <w:rFonts w:hint="eastAsia" w:ascii="仿宋" w:hAnsi="仿宋" w:eastAsia="仿宋" w:cs="仿宋"/>
          <w:color w:val="000000" w:themeColor="text1"/>
          <w:sz w:val="22"/>
          <w:szCs w:val="22"/>
          <w:highlight w:val="none"/>
          <w14:textFill>
            <w14:solidFill>
              <w14:schemeClr w14:val="tx1"/>
            </w14:solidFill>
          </w14:textFill>
        </w:rPr>
      </w:pPr>
    </w:p>
    <w:p w14:paraId="568D8AC5">
      <w:pPr>
        <w:kinsoku/>
        <w:wordWrap/>
        <w:overflowPunct/>
        <w:topLinePunct w:val="0"/>
        <w:autoSpaceDE w:val="0"/>
        <w:autoSpaceDN w:val="0"/>
        <w:bidi w:val="0"/>
        <w:spacing w:line="300" w:lineRule="auto"/>
        <w:rPr>
          <w:rFonts w:hint="eastAsia" w:ascii="仿宋" w:hAnsi="仿宋" w:eastAsia="仿宋" w:cs="仿宋"/>
          <w:color w:val="000000" w:themeColor="text1"/>
          <w:sz w:val="22"/>
          <w:szCs w:val="22"/>
          <w:highlight w:val="none"/>
          <w14:textFill>
            <w14:solidFill>
              <w14:schemeClr w14:val="tx1"/>
            </w14:solidFill>
          </w14:textFill>
        </w:rPr>
      </w:pPr>
    </w:p>
    <w:p w14:paraId="14DBBF87">
      <w:pPr>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br w:type="page"/>
      </w:r>
    </w:p>
    <w:p w14:paraId="6F8AB124">
      <w:pPr>
        <w:kinsoku/>
        <w:wordWrap/>
        <w:overflowPunct/>
        <w:topLinePunct w:val="0"/>
        <w:bidi w:val="0"/>
        <w:spacing w:line="300" w:lineRule="auto"/>
        <w:jc w:val="both"/>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二、合同条款</w:t>
      </w:r>
    </w:p>
    <w:p w14:paraId="36BAB5F4">
      <w:pPr>
        <w:kinsoku/>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1、定义</w:t>
      </w:r>
    </w:p>
    <w:p w14:paraId="33E31F7E">
      <w:pPr>
        <w:kinsoku/>
        <w:wordWrap/>
        <w:overflowPunct/>
        <w:topLinePunct w:val="0"/>
        <w:autoSpaceDE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本合同下列术语应解释为：</w:t>
      </w:r>
    </w:p>
    <w:p w14:paraId="2B3BF40D">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1-1、“合同”系指买卖双方及鉴证方签署的、合同格式中载明的买卖双方所达成的协议，包括所有的附件、附录和招、投标文件所提到的构成合同的所有文件。</w:t>
      </w:r>
    </w:p>
    <w:p w14:paraId="360E50F1">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1-2、“合同价”系指根据本合同规定卖方在正确地完全履行合同义务后买方应支付给卖方的价款。</w:t>
      </w:r>
    </w:p>
    <w:p w14:paraId="5E440C8F">
      <w:pPr>
        <w:kinsoku/>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1-3、“货物”系指卖方根据本合同规定须向买方提供的一切产品、部件或其它材料。</w:t>
      </w:r>
    </w:p>
    <w:p w14:paraId="73A2B013">
      <w:pPr>
        <w:kinsoku/>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1-4、“配套服务”系指根据本合同规定卖方承担与供货有关的辅助服务如运输、保险以及其它的伴随服务，例如调试、提供技术援助、培训和合同中规定卖方应承担的其它义务。</w:t>
      </w:r>
    </w:p>
    <w:p w14:paraId="4349B8D8">
      <w:pPr>
        <w:kinsoku/>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1-5、“配套施工”系指根据本合同规定卖方承担与供货有关的辅助施工，例如布线、装饰装修、修缮和合同中规定卖方应承担的其它义务。</w:t>
      </w:r>
    </w:p>
    <w:p w14:paraId="7E451EB1">
      <w:pPr>
        <w:kinsoku/>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1-6、“项目现场”系指本合同项下货物安装、运行的场地。</w:t>
      </w:r>
    </w:p>
    <w:p w14:paraId="3CB75F8B">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1-7、“合同条款”系指本合同条款。</w:t>
      </w:r>
    </w:p>
    <w:p w14:paraId="61D9190E">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1-8、“买方”是指购买货物及配套服务的单位即</w:t>
      </w:r>
      <w:r>
        <w:rPr>
          <w:rFonts w:hint="eastAsia" w:ascii="仿宋" w:hAnsi="仿宋" w:eastAsia="仿宋" w:cs="仿宋"/>
          <w:color w:val="000000" w:themeColor="text1"/>
          <w:kern w:val="0"/>
          <w:sz w:val="21"/>
          <w:szCs w:val="21"/>
          <w:highlight w:val="none"/>
          <w:lang w:eastAsia="zh-CN"/>
          <w14:textFill>
            <w14:solidFill>
              <w14:schemeClr w14:val="tx1"/>
            </w14:solidFill>
          </w14:textFill>
        </w:rPr>
        <w:t>西安职业技术学院</w:t>
      </w:r>
      <w:r>
        <w:rPr>
          <w:rFonts w:hint="eastAsia" w:ascii="仿宋" w:hAnsi="仿宋" w:eastAsia="仿宋" w:cs="仿宋"/>
          <w:color w:val="000000" w:themeColor="text1"/>
          <w:sz w:val="21"/>
          <w:szCs w:val="21"/>
          <w:highlight w:val="none"/>
          <w14:textFill>
            <w14:solidFill>
              <w14:schemeClr w14:val="tx1"/>
            </w14:solidFill>
          </w14:textFill>
        </w:rPr>
        <w:t>。</w:t>
      </w:r>
    </w:p>
    <w:p w14:paraId="60A32BD0">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1-9、“卖方”是指提供本合同内的货物及配套服务的公司或其它实体即</w:t>
      </w:r>
      <w:r>
        <w:rPr>
          <w:rFonts w:hint="eastAsia" w:ascii="仿宋" w:hAnsi="仿宋" w:eastAsia="仿宋" w:cs="仿宋"/>
          <w:b/>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6ED4C2D2">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1-10、“天”指日历天数。</w:t>
      </w:r>
    </w:p>
    <w:p w14:paraId="7342E095">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使用合同文件和资料</w:t>
      </w:r>
    </w:p>
    <w:p w14:paraId="67AE9C5A">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没有买方事先书面同意，卖方不得将买方或代表买方提供的有关合同或任何合同条文、规格、计划、图纸、模型、资料提供给与履行本合同无关的任何其他人，即使向与履行本合同有关的人员提供，也应注意保密并限于履行合同必须的范围。</w:t>
      </w:r>
    </w:p>
    <w:p w14:paraId="30B11C03">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2-2、没有买方事先书面同意，除了履行本合同之外，卖方不应使用合同条款第2-1条所列举的任何文件和资料。</w:t>
      </w:r>
    </w:p>
    <w:p w14:paraId="158C6779">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2-3、除了合同本身以外，合同条款第2-1条所列举的任何文件是买方的财产。如果买方有要求，卖方在完成合同后应将这些文件及全部复制件还给买方。</w:t>
      </w:r>
    </w:p>
    <w:p w14:paraId="466A5244">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3、专利权</w:t>
      </w:r>
    </w:p>
    <w:p w14:paraId="77E2D537">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卖方应保证，买方在使用该货物或货物的任何一部分，免受第三方提出的侵犯（其专利权）、商标权、著作权或其它知识产权的起诉。</w:t>
      </w:r>
    </w:p>
    <w:p w14:paraId="541A8901">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4、技术规格</w:t>
      </w:r>
    </w:p>
    <w:p w14:paraId="1906C61B">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本合同下交付的产品必须等同或优于本项目招标文件《技术规格与要求》所述的标准。若卖方在其投标文件中承诺的技术标准优于本项目招标文件《技术规格与要求》所述标准的，按投标文件的承诺执行。</w:t>
      </w:r>
    </w:p>
    <w:p w14:paraId="33EAAC03">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5、检验和测试</w:t>
      </w:r>
    </w:p>
    <w:p w14:paraId="0B728C4B">
      <w:pPr>
        <w:kinsoku/>
        <w:wordWrap/>
        <w:overflowPunct/>
        <w:topLinePunct w:val="0"/>
        <w:autoSpaceDE/>
        <w:autoSpaceDN/>
        <w:bidi w:val="0"/>
        <w:spacing w:line="300" w:lineRule="auto"/>
        <w:ind w:firstLine="420" w:firstLineChars="200"/>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5-1、买方或其代表应有权检验和测试货物及其部件，以确认所供货物是否符合合同规格的要求，并且不承担额外的费用。买方要求进行的检验和测试，以及在何处进行这些检验和测试，以书面形式通知卖方。</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检验标准和方法应包括但不限于以下内容：[具体检验标准和方法]。</w:t>
      </w:r>
    </w:p>
    <w:p w14:paraId="3ECF780D">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5-2、检验和测试在买方指定的交货地点进行。</w:t>
      </w:r>
    </w:p>
    <w:p w14:paraId="383D5294">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5-3、如果任何被检验或测试的货物或部件不能满足招标文件及合同的要求，买方可以拒绝接受该货物或部件，卖方应</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在收到买方通知后10个工作日内</w:t>
      </w:r>
      <w:r>
        <w:rPr>
          <w:rFonts w:hint="eastAsia" w:ascii="仿宋" w:hAnsi="仿宋" w:eastAsia="仿宋" w:cs="仿宋"/>
          <w:color w:val="000000" w:themeColor="text1"/>
          <w:sz w:val="21"/>
          <w:szCs w:val="21"/>
          <w:highlight w:val="none"/>
          <w14:textFill>
            <w14:solidFill>
              <w14:schemeClr w14:val="tx1"/>
            </w14:solidFill>
          </w14:textFill>
        </w:rPr>
        <w:t>更换被拒绝的货物或部件，或者免费进行必要的修改以满足规格的要求。</w:t>
      </w:r>
    </w:p>
    <w:p w14:paraId="2395D906">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5-4、在交货前，卖方应让制造商对货物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6B38C2D">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5-5、如果在货物使用寿命期内，根据检验结果，发现货物的质量或规格与合同要求不符，或被证实有缺陷，包含潜在的缺陷或使用不合适的材料，买方应向卖方提出索赔。</w:t>
      </w:r>
    </w:p>
    <w:p w14:paraId="711581BF">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6、包装及运输</w:t>
      </w:r>
    </w:p>
    <w:p w14:paraId="611F6FB3">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6-1、卖方负责货物到达交货地点前的所有包装、运输、装卸及保险事项，相关费用应包括在</w:t>
      </w:r>
      <w:r>
        <w:rPr>
          <w:rFonts w:hint="eastAsia" w:ascii="仿宋" w:hAnsi="仿宋" w:eastAsia="仿宋" w:cs="仿宋"/>
          <w:color w:val="000000" w:themeColor="text1"/>
          <w:sz w:val="21"/>
          <w:szCs w:val="21"/>
          <w:highlight w:val="none"/>
          <w:lang w:eastAsia="zh-CN"/>
          <w14:textFill>
            <w14:solidFill>
              <w14:schemeClr w14:val="tx1"/>
            </w14:solidFill>
          </w14:textFill>
        </w:rPr>
        <w:t>合同价</w:t>
      </w:r>
      <w:r>
        <w:rPr>
          <w:rFonts w:hint="eastAsia" w:ascii="仿宋" w:hAnsi="仿宋" w:eastAsia="仿宋" w:cs="仿宋"/>
          <w:color w:val="000000" w:themeColor="text1"/>
          <w:sz w:val="21"/>
          <w:szCs w:val="21"/>
          <w:highlight w:val="none"/>
          <w14:textFill>
            <w14:solidFill>
              <w14:schemeClr w14:val="tx1"/>
            </w14:solidFill>
          </w14:textFill>
        </w:rPr>
        <w:t>中。</w:t>
      </w:r>
    </w:p>
    <w:p w14:paraId="0E0D14DA">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6-2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26E5951C">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6-3、货物的运输方式由卖方自行选择，但包装必须满足货物运输和装卸的要求，保证买方收到的是无任何损伤的货物。否则，因此造成的损失由卖方自行承担。 </w:t>
      </w:r>
    </w:p>
    <w:p w14:paraId="50962990">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7、伴随服务</w:t>
      </w:r>
    </w:p>
    <w:p w14:paraId="5A216656">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7-1、卖方必须在合同生效后三十 (30)天内向买方提交所供货物的技术文件（中文技术文件）</w:t>
      </w:r>
      <w:r>
        <w:rPr>
          <w:rFonts w:hint="eastAsia" w:ascii="仿宋" w:hAnsi="仿宋" w:eastAsia="仿宋" w:cs="仿宋"/>
          <w:color w:val="000000" w:themeColor="text1"/>
          <w:sz w:val="21"/>
          <w:szCs w:val="21"/>
          <w:highlight w:val="none"/>
          <w:lang w:val="en-US" w:eastAsia="zh-CN"/>
          <w14:textFill>
            <w14:solidFill>
              <w14:schemeClr w14:val="tx1"/>
            </w14:solidFill>
          </w14:textFill>
        </w:rPr>
        <w:t>包括但不限于</w:t>
      </w:r>
      <w:r>
        <w:rPr>
          <w:rFonts w:hint="eastAsia" w:ascii="仿宋" w:hAnsi="仿宋" w:eastAsia="仿宋" w:cs="仿宋"/>
          <w:color w:val="000000" w:themeColor="text1"/>
          <w:sz w:val="21"/>
          <w:szCs w:val="21"/>
          <w:highlight w:val="none"/>
          <w14:textFill>
            <w14:solidFill>
              <w14:schemeClr w14:val="tx1"/>
            </w14:solidFill>
          </w14:textFill>
        </w:rPr>
        <w:t>：货物说明、图纸、操作手册、使用说明、维护手册和／或服务指南等。</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如卖方未能在规定时间内提供上述文件，买方有权要求卖方支付违约金，违约金金额为合同价的1%。</w:t>
      </w:r>
    </w:p>
    <w:p w14:paraId="4E8F1442">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7-2、卖方应向买方提供下列所有服务，包括</w:t>
      </w:r>
      <w:r>
        <w:rPr>
          <w:rFonts w:hint="eastAsia" w:ascii="仿宋" w:hAnsi="仿宋" w:eastAsia="仿宋" w:cs="仿宋"/>
          <w:color w:val="000000" w:themeColor="text1"/>
          <w:sz w:val="21"/>
          <w:szCs w:val="21"/>
          <w:highlight w:val="none"/>
          <w:lang w:val="en-US" w:eastAsia="zh-CN"/>
          <w14:textFill>
            <w14:solidFill>
              <w14:schemeClr w14:val="tx1"/>
            </w14:solidFill>
          </w14:textFill>
        </w:rPr>
        <w:t>但不限于</w:t>
      </w:r>
      <w:r>
        <w:rPr>
          <w:rFonts w:hint="eastAsia" w:ascii="仿宋" w:hAnsi="仿宋" w:eastAsia="仿宋" w:cs="仿宋"/>
          <w:color w:val="000000" w:themeColor="text1"/>
          <w:sz w:val="21"/>
          <w:szCs w:val="21"/>
          <w:highlight w:val="none"/>
          <w14:textFill>
            <w14:solidFill>
              <w14:schemeClr w14:val="tx1"/>
            </w14:solidFill>
          </w14:textFill>
        </w:rPr>
        <w:t>本项目招标文件“商务条款”与“技术规格与要求”中规定的附加服务（如果有的话）：</w:t>
      </w:r>
    </w:p>
    <w:p w14:paraId="5981B3FA">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（1）实施或监督所供货物的现场组装和试运行</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具体时间为合同生效后</w:t>
      </w:r>
      <w:r>
        <w:rPr>
          <w:rFonts w:hint="eastAsia" w:ascii="仿宋" w:hAnsi="仿宋" w:eastAsia="仿宋" w:cs="仿宋"/>
          <w:i w:val="0"/>
          <w:iCs w:val="0"/>
          <w:caps w:val="0"/>
          <w:color w:val="000000" w:themeColor="text1"/>
          <w:spacing w:val="0"/>
          <w:kern w:val="2"/>
          <w:sz w:val="21"/>
          <w:szCs w:val="21"/>
          <w:highlight w:val="none"/>
          <w:u w:val="single"/>
          <w:shd w:val="clear"/>
          <w:lang w:val="en-US" w:eastAsia="zh-CN" w:bidi="ar"/>
          <w14:textFill>
            <w14:solidFill>
              <w14:schemeClr w14:val="tx1"/>
            </w14:solidFill>
          </w14:textFill>
        </w:rPr>
        <w:t>[具体天数]</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天内；</w:t>
      </w:r>
      <w:r>
        <w:rPr>
          <w:rFonts w:hint="eastAsia" w:ascii="仿宋" w:hAnsi="仿宋" w:eastAsia="仿宋" w:cs="仿宋"/>
          <w:color w:val="000000" w:themeColor="text1"/>
          <w:sz w:val="21"/>
          <w:szCs w:val="21"/>
          <w:highlight w:val="none"/>
          <w14:textFill>
            <w14:solidFill>
              <w14:schemeClr w14:val="tx1"/>
            </w14:solidFill>
          </w14:textFill>
        </w:rPr>
        <w:t>；</w:t>
      </w:r>
    </w:p>
    <w:p w14:paraId="1D9A9673">
      <w:pPr>
        <w:keepNext w:val="0"/>
        <w:keepLines w:val="0"/>
        <w:widowControl/>
        <w:suppressLineNumbers w:val="0"/>
        <w:kinsoku/>
        <w:wordWrap/>
        <w:overflowPunct/>
        <w:topLinePunct w:val="0"/>
        <w:autoSpaceDE w:val="0"/>
        <w:autoSpaceDN w:val="0"/>
        <w:bidi w:val="0"/>
        <w:spacing w:line="300" w:lineRule="auto"/>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（2）提供货物组装和维修所需的工具</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具体时间为合同生效后</w:t>
      </w:r>
      <w:r>
        <w:rPr>
          <w:rFonts w:hint="eastAsia" w:ascii="仿宋" w:hAnsi="仿宋" w:eastAsia="仿宋" w:cs="仿宋"/>
          <w:i w:val="0"/>
          <w:iCs w:val="0"/>
          <w:caps w:val="0"/>
          <w:color w:val="000000" w:themeColor="text1"/>
          <w:spacing w:val="0"/>
          <w:kern w:val="2"/>
          <w:sz w:val="21"/>
          <w:szCs w:val="21"/>
          <w:highlight w:val="none"/>
          <w:u w:val="single"/>
          <w:shd w:val="clear"/>
          <w:lang w:val="en-US" w:eastAsia="zh-CN" w:bidi="ar"/>
          <w14:textFill>
            <w14:solidFill>
              <w14:schemeClr w14:val="tx1"/>
            </w14:solidFill>
          </w14:textFill>
        </w:rPr>
        <w:t>[   ]</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天内</w:t>
      </w:r>
      <w:r>
        <w:rPr>
          <w:rFonts w:hint="eastAsia" w:ascii="仿宋" w:hAnsi="仿宋" w:eastAsia="仿宋" w:cs="仿宋"/>
          <w:color w:val="000000" w:themeColor="text1"/>
          <w:sz w:val="21"/>
          <w:szCs w:val="21"/>
          <w:highlight w:val="none"/>
          <w14:textFill>
            <w14:solidFill>
              <w14:schemeClr w14:val="tx1"/>
            </w14:solidFill>
          </w14:textFill>
        </w:rPr>
        <w:t>；</w:t>
      </w:r>
    </w:p>
    <w:p w14:paraId="350F9DFB">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（3）为所供货物的每一适当的单台货物提供详细的操作和维护手册</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具体时间为合同生效后[具体天数]天内</w:t>
      </w:r>
      <w:r>
        <w:rPr>
          <w:rFonts w:hint="eastAsia" w:ascii="仿宋" w:hAnsi="仿宋" w:eastAsia="仿宋" w:cs="仿宋"/>
          <w:color w:val="000000" w:themeColor="text1"/>
          <w:sz w:val="21"/>
          <w:szCs w:val="21"/>
          <w:highlight w:val="none"/>
          <w14:textFill>
            <w14:solidFill>
              <w14:schemeClr w14:val="tx1"/>
            </w14:solidFill>
          </w14:textFill>
        </w:rPr>
        <w:t>；</w:t>
      </w:r>
    </w:p>
    <w:p w14:paraId="2F54AADF">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（4）在双方商定的一定期限内对所供货物实施运行进行监督、维护、修理，但前提条件是该服务并不能免除卖方在合同保证期内所承担的义务；  </w:t>
      </w:r>
    </w:p>
    <w:p w14:paraId="4DD4B930">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（5）卖方或制造厂在项目现场就所供货物的组装、试运行、运行、维护和修理、软硬件升级对买方人员进行培训。</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具体时间为合同生效后[具体天数]天内。如卖方未能在规定时间内提供上述服务，买方有权要求卖方支付违约金，违约金金额为合同价的1%。</w:t>
      </w:r>
    </w:p>
    <w:p w14:paraId="74D1509C">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7-3、卖方应提供本项目招标文件“商务条款”和“技术规格与要求”中规定的所有服务。为履行要求的伴随服务的报价或双方商定的费用应包括在合同价中。</w:t>
      </w:r>
    </w:p>
    <w:p w14:paraId="1D0E5946">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7-4、如果卖方或制造厂提供的伴随服务的费用未含在货物的合同价中，双方应事先就其达成协议，但其费用单价不应超过卖方向其他人提供类似服务所收取的现行市场价。</w:t>
      </w:r>
    </w:p>
    <w:p w14:paraId="4A839BC9">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8、备品备件</w:t>
      </w:r>
    </w:p>
    <w:p w14:paraId="35FC4131">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8-1、卖方可能被要求提供下列与备品备件有关的材料、通知和资料：</w:t>
      </w:r>
    </w:p>
    <w:p w14:paraId="295DC01B">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（1）买方从卖方选购备品备件，但前提条件是该选择并不能免除卖方在合同保证期内所承担的义务；</w:t>
      </w:r>
    </w:p>
    <w:p w14:paraId="0C9F9458">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（2）在备品备件停止生产的情况下，卖方应</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至少提前60天书面</w:t>
      </w:r>
      <w:r>
        <w:rPr>
          <w:rFonts w:hint="eastAsia" w:ascii="仿宋" w:hAnsi="仿宋" w:eastAsia="仿宋" w:cs="仿宋"/>
          <w:color w:val="000000" w:themeColor="text1"/>
          <w:sz w:val="21"/>
          <w:szCs w:val="21"/>
          <w:highlight w:val="none"/>
          <w14:textFill>
            <w14:solidFill>
              <w14:schemeClr w14:val="tx1"/>
            </w14:solidFill>
          </w14:textFill>
        </w:rPr>
        <w:t>事先将要停止生产的计划通知买方使买方有足够的时间采购所需的备品备件；</w:t>
      </w:r>
    </w:p>
    <w:p w14:paraId="41D5150A">
      <w:pPr>
        <w:widowControl/>
        <w:kinsoku/>
        <w:wordWrap/>
        <w:overflowPunct/>
        <w:topLinePunct w:val="0"/>
        <w:autoSpaceDE w:val="0"/>
        <w:autoSpaceDN w:val="0"/>
        <w:bidi w:val="0"/>
        <w:spacing w:line="300" w:lineRule="auto"/>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（3）在备品备件停止生产后，如果买方要求，卖方应免费向买方提供备品备件的蓝图、图纸和规格。</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如果卖方未能及时通知买方备品备件停止生产，或未能免费提供备品备件的蓝图、图纸和规格，卖方应承担由此给买方造成的全部损失。</w:t>
      </w:r>
    </w:p>
    <w:p w14:paraId="6FC99D77">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8-2、卖方应按照本项目招标文件“商务条款”和“技术规格与要求”中的规定提供所需的备品备件。</w:t>
      </w:r>
    </w:p>
    <w:p w14:paraId="24AAC901">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9、质量保证</w:t>
      </w:r>
    </w:p>
    <w:p w14:paraId="46EDFF0F">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9-1、质量保证期为终验合格之日起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个月。</w:t>
      </w:r>
    </w:p>
    <w:p w14:paraId="335EB82B">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9-2、卖方应保证合同项下所供货物是合同规定厂家制造的、全新的、未使用过的，并完全符合合同规定的质量、规格和性能要求的合格货物。</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货物应符合【具体的国家标准、行业标准或企业标准】。</w:t>
      </w:r>
      <w:r>
        <w:rPr>
          <w:rFonts w:hint="eastAsia" w:ascii="仿宋" w:hAnsi="仿宋" w:eastAsia="仿宋" w:cs="仿宋"/>
          <w:color w:val="000000" w:themeColor="text1"/>
          <w:sz w:val="21"/>
          <w:szCs w:val="21"/>
          <w:highlight w:val="none"/>
          <w14:textFill>
            <w14:solidFill>
              <w14:schemeClr w14:val="tx1"/>
            </w14:solidFill>
          </w14:textFill>
        </w:rPr>
        <w:t>卖方应保证其货物在正确安装、正常使用和保养条件下，在其使用寿命期内应具有满意的性能。在货物的质量保证期内，卖方对由于设计、工艺或材料等的缺陷而产生的故障负责。</w:t>
      </w:r>
    </w:p>
    <w:p w14:paraId="53CC1BAB">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9-3、根据检验结果或者在质量保证期内，如果货物的数量、质量或规格与合同不符，或证实货物是有缺陷的，包括潜在的缺陷，买方应尽快以书面形式向卖方提出所发现的缺陷。</w:t>
      </w:r>
    </w:p>
    <w:p w14:paraId="116F4710">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9-4、卖方收到通知后应在招标文件规定的时间内以合理的速度免费维修或更换有缺陷的货物或部件。</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如卖方未能在规定时间内响应维修请求，买方有权要求卖方支付违约金，违约金金额为合同价的1%。</w:t>
      </w:r>
    </w:p>
    <w:p w14:paraId="4DB97DE5">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9-5、如果卖方收到通知后在招标文件规定的时间内没有及时修补缺陷，买方可提出索赔，并可采取必要的补救措施，但其风险和费用将由卖方承担，买方根据合同规定对卖方行使的其他权力不受影响。</w:t>
      </w:r>
    </w:p>
    <w:p w14:paraId="601F87D1">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10、索赔</w:t>
      </w:r>
    </w:p>
    <w:p w14:paraId="34AA3DA9">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10-1、如果卖方对偏差负有责任，而买方在安装、调试、验收和质量保证期内提出了索赔，卖方应按照买方同意的下列一种或几种方式结合起来解决索赔事宜：</w:t>
      </w:r>
    </w:p>
    <w:p w14:paraId="020C42FB">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卖方同意退货并用合同规定的货币将货款退还给买方，并承担由此发生的一切损失和费用，包括利息、银行手续费、运费、保险费、检验费、仓储费、装卸费以及为看管和保护退回货物所需的其它必要费用。</w:t>
      </w:r>
    </w:p>
    <w:p w14:paraId="2B724EB5">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（2）根据货物的偏差情况、损坏程度、以及买方所遭受损失的金额，经买卖双方商定降低货物的价格。</w:t>
      </w:r>
    </w:p>
    <w:p w14:paraId="5B424015">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3）用符合合同规定的规格、质量和性能要求的新零件、部件和/或货物来更换有缺陷的部分和/或修补缺陷部分，卖方应承担一切费用和风险并负担买方蒙受的全部直接损失费用。同时，卖方应按合同条款第9-1条规定，相应延长所更换货物的质量保证期。</w:t>
      </w:r>
    </w:p>
    <w:p w14:paraId="17A15DAB">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10-2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若索赔金额超过未付货款的，卖方必须用已收货款进行弥补。</w:t>
      </w:r>
    </w:p>
    <w:p w14:paraId="24931C26">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11、变更指令</w:t>
      </w:r>
    </w:p>
    <w:p w14:paraId="3AABAC08">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11-1、买方可以在任何时候书面向卖方发出指令，在本合同的一般范围内变更下述一项或几项：</w:t>
      </w:r>
    </w:p>
    <w:p w14:paraId="66F37AA8">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spacing w:val="-4"/>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w:t>
      </w:r>
      <w:r>
        <w:rPr>
          <w:rFonts w:hint="eastAsia" w:ascii="仿宋" w:hAnsi="仿宋" w:eastAsia="仿宋" w:cs="仿宋"/>
          <w:color w:val="000000" w:themeColor="text1"/>
          <w:spacing w:val="-4"/>
          <w:kern w:val="0"/>
          <w:sz w:val="21"/>
          <w:szCs w:val="21"/>
          <w:highlight w:val="none"/>
          <w14:textFill>
            <w14:solidFill>
              <w14:schemeClr w14:val="tx1"/>
            </w14:solidFill>
          </w14:textFill>
        </w:rPr>
        <w:t>本合同项下提供的货物是专为买方制造时，变更图纸、设计或规格；</w:t>
      </w:r>
    </w:p>
    <w:p w14:paraId="25B57160">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（2）运输或包装的方法；</w:t>
      </w:r>
    </w:p>
    <w:p w14:paraId="3CCB2A65">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（3）交货地点；</w:t>
      </w:r>
    </w:p>
    <w:p w14:paraId="59263936">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（4）卖方提供的服务。</w:t>
      </w:r>
    </w:p>
    <w:p w14:paraId="2A6DA243">
      <w:pPr>
        <w:kinsoku/>
        <w:wordWrap/>
        <w:overflowPunct/>
        <w:topLinePunct w:val="0"/>
        <w:autoSpaceDN w:val="0"/>
        <w:bidi w:val="0"/>
        <w:adjustRightInd w:val="0"/>
        <w:spacing w:line="300" w:lineRule="auto"/>
        <w:ind w:firstLine="404" w:firstLineChars="200"/>
        <w:rPr>
          <w:rFonts w:hint="eastAsia" w:ascii="仿宋" w:hAnsi="仿宋" w:eastAsia="仿宋" w:cs="仿宋"/>
          <w:color w:val="000000" w:themeColor="text1"/>
          <w:spacing w:val="-4"/>
          <w:kern w:val="0"/>
          <w:sz w:val="21"/>
          <w:szCs w:val="21"/>
          <w:highlight w:val="none"/>
          <w14:textFill>
            <w14:solidFill>
              <w14:schemeClr w14:val="tx1"/>
            </w14:solidFill>
          </w14:textFill>
        </w:rPr>
      </w:pPr>
      <w:r>
        <w:rPr>
          <w:rFonts w:hint="eastAsia" w:ascii="仿宋" w:hAnsi="仿宋" w:eastAsia="仿宋" w:cs="仿宋"/>
          <w:color w:val="000000" w:themeColor="text1"/>
          <w:spacing w:val="-4"/>
          <w:kern w:val="0"/>
          <w:sz w:val="21"/>
          <w:szCs w:val="21"/>
          <w:highlight w:val="none"/>
          <w14:textFill>
            <w14:solidFill>
              <w14:schemeClr w14:val="tx1"/>
            </w14:solidFill>
          </w14:textFill>
        </w:rPr>
        <w:t>11-2、</w:t>
      </w:r>
      <w:r>
        <w:rPr>
          <w:rFonts w:hint="eastAsia" w:ascii="仿宋" w:hAnsi="仿宋" w:eastAsia="仿宋" w:cs="仿宋"/>
          <w:color w:val="000000" w:themeColor="text1"/>
          <w:kern w:val="0"/>
          <w:sz w:val="21"/>
          <w:szCs w:val="21"/>
          <w:highlight w:val="none"/>
          <w14:textFill>
            <w14:solidFill>
              <w14:schemeClr w14:val="tx1"/>
            </w14:solidFill>
          </w14:textFill>
        </w:rPr>
        <w:t>如果上述变更使卖方履行合同义务的费用或时间增加或减少，将对合同价或交货时间或两者进行公平的调整，同时相应修改合同。卖方根据本条进行调整的要求必须在收到买方的变更指令后七（7）天内提出。</w:t>
      </w:r>
    </w:p>
    <w:p w14:paraId="4AF6AF6B">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12、合同修改</w:t>
      </w:r>
    </w:p>
    <w:p w14:paraId="74B475DB">
      <w:pPr>
        <w:kinsoku/>
        <w:wordWrap/>
        <w:overflowPunct/>
        <w:topLinePunct w:val="0"/>
        <w:autoSpaceDN w:val="0"/>
        <w:bidi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除了合同条款第11条的情况，不应对合同条款进行任何变更或修改，除非双方同意并签订书面的合同修改书。</w:t>
      </w:r>
    </w:p>
    <w:p w14:paraId="4A1A5888">
      <w:pPr>
        <w:kinsoku/>
        <w:wordWrap/>
        <w:overflowPunct/>
        <w:topLinePunct w:val="0"/>
        <w:autoSpaceDN w:val="0"/>
        <w:bidi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13、转让</w:t>
      </w:r>
    </w:p>
    <w:p w14:paraId="6FC32A8D">
      <w:pPr>
        <w:kinsoku/>
        <w:wordWrap/>
        <w:overflowPunct/>
        <w:topLinePunct w:val="0"/>
        <w:autoSpaceDN w:val="0"/>
        <w:bidi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未经买方事先书面同意，卖方不得部分转让或全部转让其应履行的合同义务。</w:t>
      </w:r>
    </w:p>
    <w:p w14:paraId="2D445890">
      <w:pPr>
        <w:kinsoku/>
        <w:wordWrap/>
        <w:overflowPunct/>
        <w:topLinePunct w:val="0"/>
        <w:autoSpaceDN w:val="0"/>
        <w:bidi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14、卖方履约延误</w:t>
      </w:r>
    </w:p>
    <w:p w14:paraId="3206512C">
      <w:pPr>
        <w:kinsoku/>
        <w:wordWrap/>
        <w:overflowPunct/>
        <w:topLinePunct w:val="0"/>
        <w:autoSpaceDN w:val="0"/>
        <w:bidi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14-1、卖方应按照本项目招标文件“商务条款”中规定的交货时间交货和提供服务。</w:t>
      </w:r>
    </w:p>
    <w:p w14:paraId="3764DC0D">
      <w:pPr>
        <w:kinsoku/>
        <w:wordWrap/>
        <w:overflowPunct/>
        <w:topLinePunct w:val="0"/>
        <w:autoSpaceDN w:val="0"/>
        <w:bidi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14-2、在履行合同过程中，如果卖方遇到妨碍按时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335ABB1C">
      <w:pPr>
        <w:kinsoku/>
        <w:wordWrap/>
        <w:overflowPunct/>
        <w:topLinePunct w:val="0"/>
        <w:autoSpaceDN w:val="0"/>
        <w:bidi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14-3、除合同条款第19条规定的情况外,除非拖延是根据合同条款第14-2条的规定取得同意而不收取误期赔偿费之外，卖方延误交货，将按合同条款第16条的规定被收取误期赔偿费。</w:t>
      </w:r>
    </w:p>
    <w:p w14:paraId="3AC8F997">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15、验收</w:t>
      </w:r>
    </w:p>
    <w:p w14:paraId="146F9F9A">
      <w:pPr>
        <w:adjustRightInd w:val="0"/>
        <w:snapToGrid w:val="0"/>
        <w:ind w:firstLine="420" w:firstLineChars="20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现行的国家标准或国家行政部门颁布的法律法规、规章制度等，是项目验收的重要依据，</w:t>
      </w:r>
      <w:r>
        <w:rPr>
          <w:rFonts w:hint="eastAsia" w:ascii="仿宋" w:hAnsi="仿宋" w:eastAsia="仿宋" w:cs="仿宋"/>
          <w:color w:val="000000" w:themeColor="text1"/>
          <w:sz w:val="21"/>
          <w:szCs w:val="21"/>
          <w:highlight w:val="none"/>
          <w:lang w:val="en-US" w:eastAsia="zh-CN"/>
          <w14:textFill>
            <w14:solidFill>
              <w14:schemeClr w14:val="tx1"/>
            </w14:solidFill>
          </w14:textFill>
        </w:rPr>
        <w:t>买方</w:t>
      </w:r>
      <w:r>
        <w:rPr>
          <w:rFonts w:hint="eastAsia" w:ascii="仿宋" w:hAnsi="仿宋" w:eastAsia="仿宋" w:cs="仿宋"/>
          <w:color w:val="000000" w:themeColor="text1"/>
          <w:sz w:val="21"/>
          <w:szCs w:val="21"/>
          <w:highlight w:val="none"/>
          <w14:textFill>
            <w14:solidFill>
              <w14:schemeClr w14:val="tx1"/>
            </w14:solidFill>
          </w14:textFill>
        </w:rPr>
        <w:t>根据有关规范、规定及项目要求对</w:t>
      </w:r>
      <w:r>
        <w:rPr>
          <w:rFonts w:hint="eastAsia" w:ascii="仿宋" w:hAnsi="仿宋" w:eastAsia="仿宋" w:cs="仿宋"/>
          <w:color w:val="000000" w:themeColor="text1"/>
          <w:sz w:val="21"/>
          <w:szCs w:val="21"/>
          <w:highlight w:val="none"/>
          <w:lang w:val="en-US" w:eastAsia="zh-CN"/>
          <w14:textFill>
            <w14:solidFill>
              <w14:schemeClr w14:val="tx1"/>
            </w14:solidFill>
          </w14:textFill>
        </w:rPr>
        <w:t>卖方</w:t>
      </w:r>
      <w:r>
        <w:rPr>
          <w:rFonts w:hint="eastAsia" w:ascii="仿宋" w:hAnsi="仿宋" w:eastAsia="仿宋" w:cs="仿宋"/>
          <w:color w:val="000000" w:themeColor="text1"/>
          <w:sz w:val="21"/>
          <w:szCs w:val="21"/>
          <w:highlight w:val="none"/>
          <w14:textFill>
            <w14:solidFill>
              <w14:schemeClr w14:val="tx1"/>
            </w14:solidFill>
          </w14:textFill>
        </w:rPr>
        <w:t>所供货物（产品）或服务进行检查或验收，</w:t>
      </w:r>
      <w:r>
        <w:rPr>
          <w:rFonts w:hint="eastAsia" w:ascii="仿宋" w:hAnsi="仿宋" w:eastAsia="仿宋" w:cs="仿宋"/>
          <w:color w:val="000000" w:themeColor="text1"/>
          <w:sz w:val="21"/>
          <w:szCs w:val="21"/>
          <w:highlight w:val="none"/>
          <w:lang w:val="en-US" w:eastAsia="zh-CN"/>
          <w14:textFill>
            <w14:solidFill>
              <w14:schemeClr w14:val="tx1"/>
            </w14:solidFill>
          </w14:textFill>
        </w:rPr>
        <w:t>卖方</w:t>
      </w:r>
      <w:r>
        <w:rPr>
          <w:rFonts w:hint="eastAsia" w:ascii="仿宋" w:hAnsi="仿宋" w:eastAsia="仿宋" w:cs="仿宋"/>
          <w:color w:val="000000" w:themeColor="text1"/>
          <w:sz w:val="21"/>
          <w:szCs w:val="21"/>
          <w:highlight w:val="none"/>
          <w14:textFill>
            <w14:solidFill>
              <w14:schemeClr w14:val="tx1"/>
            </w14:solidFill>
          </w14:textFill>
        </w:rPr>
        <w:t>须无条件的接受</w:t>
      </w:r>
      <w:r>
        <w:rPr>
          <w:rFonts w:hint="eastAsia" w:ascii="仿宋" w:hAnsi="仿宋" w:eastAsia="仿宋" w:cs="仿宋"/>
          <w:color w:val="000000" w:themeColor="text1"/>
          <w:sz w:val="21"/>
          <w:szCs w:val="21"/>
          <w:highlight w:val="none"/>
          <w:lang w:val="en-US" w:eastAsia="zh-CN"/>
          <w14:textFill>
            <w14:solidFill>
              <w14:schemeClr w14:val="tx1"/>
            </w14:solidFill>
          </w14:textFill>
        </w:rPr>
        <w:t>买方</w:t>
      </w:r>
      <w:r>
        <w:rPr>
          <w:rFonts w:hint="eastAsia" w:ascii="仿宋" w:hAnsi="仿宋" w:eastAsia="仿宋" w:cs="仿宋"/>
          <w:color w:val="000000" w:themeColor="text1"/>
          <w:sz w:val="21"/>
          <w:szCs w:val="21"/>
          <w:highlight w:val="none"/>
          <w14:textFill>
            <w14:solidFill>
              <w14:schemeClr w14:val="tx1"/>
            </w14:solidFill>
          </w14:textFill>
        </w:rPr>
        <w:t>检查或验收；若验收不通过或质量不合格，</w:t>
      </w:r>
      <w:r>
        <w:rPr>
          <w:rFonts w:hint="eastAsia" w:ascii="仿宋" w:hAnsi="仿宋" w:eastAsia="仿宋" w:cs="仿宋"/>
          <w:color w:val="000000" w:themeColor="text1"/>
          <w:sz w:val="21"/>
          <w:szCs w:val="21"/>
          <w:highlight w:val="none"/>
          <w:lang w:val="en-US" w:eastAsia="zh-CN"/>
          <w14:textFill>
            <w14:solidFill>
              <w14:schemeClr w14:val="tx1"/>
            </w14:solidFill>
          </w14:textFill>
        </w:rPr>
        <w:t>卖方</w:t>
      </w:r>
      <w:r>
        <w:rPr>
          <w:rFonts w:hint="eastAsia" w:ascii="仿宋" w:hAnsi="仿宋" w:eastAsia="仿宋" w:cs="仿宋"/>
          <w:color w:val="000000" w:themeColor="text1"/>
          <w:sz w:val="21"/>
          <w:szCs w:val="21"/>
          <w:highlight w:val="none"/>
          <w14:textFill>
            <w14:solidFill>
              <w14:schemeClr w14:val="tx1"/>
            </w14:solidFill>
          </w14:textFill>
        </w:rPr>
        <w:t>应在一定期限进行整改完善，以</w:t>
      </w:r>
      <w:r>
        <w:rPr>
          <w:rFonts w:hint="eastAsia" w:ascii="仿宋" w:hAnsi="仿宋" w:eastAsia="仿宋" w:cs="仿宋"/>
          <w:color w:val="000000" w:themeColor="text1"/>
          <w:sz w:val="21"/>
          <w:szCs w:val="21"/>
          <w:highlight w:val="none"/>
          <w:lang w:val="en-US" w:eastAsia="zh-CN"/>
          <w14:textFill>
            <w14:solidFill>
              <w14:schemeClr w14:val="tx1"/>
            </w14:solidFill>
          </w14:textFill>
        </w:rPr>
        <w:t>买方</w:t>
      </w:r>
      <w:r>
        <w:rPr>
          <w:rFonts w:hint="eastAsia" w:ascii="仿宋" w:hAnsi="仿宋" w:eastAsia="仿宋" w:cs="仿宋"/>
          <w:color w:val="000000" w:themeColor="text1"/>
          <w:sz w:val="21"/>
          <w:szCs w:val="21"/>
          <w:highlight w:val="none"/>
          <w14:textFill>
            <w14:solidFill>
              <w14:schemeClr w14:val="tx1"/>
            </w14:solidFill>
          </w14:textFill>
        </w:rPr>
        <w:t>要求的标准提供合格的货物（产品）或服务；若</w:t>
      </w:r>
      <w:r>
        <w:rPr>
          <w:rFonts w:hint="eastAsia" w:ascii="仿宋" w:hAnsi="仿宋" w:eastAsia="仿宋" w:cs="仿宋"/>
          <w:color w:val="000000" w:themeColor="text1"/>
          <w:sz w:val="21"/>
          <w:szCs w:val="21"/>
          <w:highlight w:val="none"/>
          <w:lang w:val="en-US" w:eastAsia="zh-CN"/>
          <w14:textFill>
            <w14:solidFill>
              <w14:schemeClr w14:val="tx1"/>
            </w14:solidFill>
          </w14:textFill>
        </w:rPr>
        <w:t>卖方</w:t>
      </w:r>
      <w:r>
        <w:rPr>
          <w:rFonts w:hint="eastAsia" w:ascii="仿宋" w:hAnsi="仿宋" w:eastAsia="仿宋" w:cs="仿宋"/>
          <w:color w:val="000000" w:themeColor="text1"/>
          <w:sz w:val="21"/>
          <w:szCs w:val="21"/>
          <w:highlight w:val="none"/>
          <w14:textFill>
            <w14:solidFill>
              <w14:schemeClr w14:val="tx1"/>
            </w14:solidFill>
          </w14:textFill>
        </w:rPr>
        <w:t>在接受检查整改后，仍不能提供符合采购要求的合格货物（产品）或服务，</w:t>
      </w:r>
      <w:r>
        <w:rPr>
          <w:rFonts w:hint="eastAsia" w:ascii="仿宋" w:hAnsi="仿宋" w:eastAsia="仿宋" w:cs="仿宋"/>
          <w:color w:val="000000" w:themeColor="text1"/>
          <w:sz w:val="21"/>
          <w:szCs w:val="21"/>
          <w:highlight w:val="none"/>
          <w:lang w:val="en-US" w:eastAsia="zh-CN"/>
          <w14:textFill>
            <w14:solidFill>
              <w14:schemeClr w14:val="tx1"/>
            </w14:solidFill>
          </w14:textFill>
        </w:rPr>
        <w:t>买方</w:t>
      </w:r>
      <w:r>
        <w:rPr>
          <w:rFonts w:hint="eastAsia" w:ascii="仿宋" w:hAnsi="仿宋" w:eastAsia="仿宋" w:cs="仿宋"/>
          <w:color w:val="000000" w:themeColor="text1"/>
          <w:sz w:val="21"/>
          <w:szCs w:val="21"/>
          <w:highlight w:val="none"/>
          <w14:textFill>
            <w14:solidFill>
              <w14:schemeClr w14:val="tx1"/>
            </w14:solidFill>
          </w14:textFill>
        </w:rPr>
        <w:t>有权按违约予以撤项</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4B1BD638">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15-1、项目验收分初验和终验:</w:t>
      </w:r>
    </w:p>
    <w:p w14:paraId="103FAE0C">
      <w:pPr>
        <w:widowControl/>
        <w:kinsoku/>
        <w:wordWrap/>
        <w:overflowPunct/>
        <w:topLinePunct w:val="0"/>
        <w:bidi w:val="0"/>
        <w:spacing w:line="300" w:lineRule="auto"/>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初验：货物到达交货地点后，由使用单位（买方）根据合同对货物的名称、品牌、规格、型号、产地、数量</w:t>
      </w:r>
      <w:r>
        <w:rPr>
          <w:rFonts w:hint="eastAsia" w:ascii="仿宋" w:hAnsi="仿宋" w:eastAsia="仿宋" w:cs="仿宋"/>
          <w:color w:val="000000" w:themeColor="text1"/>
          <w:sz w:val="21"/>
          <w:szCs w:val="21"/>
          <w:highlight w:val="none"/>
          <w:lang w:val="en-US" w:eastAsia="zh-CN"/>
          <w14:textFill>
            <w14:solidFill>
              <w14:schemeClr w14:val="tx1"/>
            </w14:solidFill>
          </w14:textFill>
        </w:rPr>
        <w:t>在</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个日历日进行检查。</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具体验收标准和方法包括但不限于：</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br w:type="textWrapping"/>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 xml:space="preserve">   1. 货物的外观无损坏，无明显瑕疵；</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br w:type="textWrapping"/>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 xml:space="preserve">   2. 货物的包装完整，无破损；</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br w:type="textWrapping"/>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 xml:space="preserve">   3. 货物的数量与合同约定相符；</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br w:type="textWrapping"/>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 xml:space="preserve">   4. 货物的品牌、规格、型号与合同约定相符；</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br w:type="textWrapping"/>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 xml:space="preserve">   5. 货物的产地与合同约定相符。检验机构【如有】为</w:t>
      </w:r>
      <w:r>
        <w:rPr>
          <w:rFonts w:hint="eastAsia" w:ascii="仿宋" w:hAnsi="仿宋" w:eastAsia="仿宋" w:cs="仿宋"/>
          <w:i w:val="0"/>
          <w:iCs w:val="0"/>
          <w:caps w:val="0"/>
          <w:color w:val="000000" w:themeColor="text1"/>
          <w:spacing w:val="0"/>
          <w:kern w:val="2"/>
          <w:sz w:val="21"/>
          <w:szCs w:val="21"/>
          <w:highlight w:val="none"/>
          <w:u w:val="single"/>
          <w:shd w:val="clear"/>
          <w:lang w:val="en-US" w:eastAsia="zh-CN" w:bidi="ar"/>
          <w14:textFill>
            <w14:solidFill>
              <w14:schemeClr w14:val="tx1"/>
            </w14:solidFill>
          </w14:textFill>
        </w:rPr>
        <w:t>【具体检验机构名称】</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，检验方式为</w:t>
      </w:r>
      <w:r>
        <w:rPr>
          <w:rFonts w:hint="eastAsia" w:ascii="仿宋" w:hAnsi="仿宋" w:eastAsia="仿宋" w:cs="仿宋"/>
          <w:i w:val="0"/>
          <w:iCs w:val="0"/>
          <w:caps w:val="0"/>
          <w:color w:val="000000" w:themeColor="text1"/>
          <w:spacing w:val="0"/>
          <w:kern w:val="2"/>
          <w:sz w:val="21"/>
          <w:szCs w:val="21"/>
          <w:highlight w:val="none"/>
          <w:u w:val="single"/>
          <w:shd w:val="clear"/>
          <w:lang w:val="en-US" w:eastAsia="zh-CN" w:bidi="ar"/>
          <w14:textFill>
            <w14:solidFill>
              <w14:schemeClr w14:val="tx1"/>
            </w14:solidFill>
          </w14:textFill>
        </w:rPr>
        <w:t>【抽样检验/逐一检验】</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，检验期限为</w:t>
      </w:r>
      <w:r>
        <w:rPr>
          <w:rFonts w:hint="eastAsia" w:ascii="仿宋" w:hAnsi="仿宋" w:eastAsia="仿宋" w:cs="仿宋"/>
          <w:i w:val="0"/>
          <w:iCs w:val="0"/>
          <w:caps w:val="0"/>
          <w:color w:val="000000" w:themeColor="text1"/>
          <w:spacing w:val="0"/>
          <w:kern w:val="2"/>
          <w:sz w:val="21"/>
          <w:szCs w:val="21"/>
          <w:highlight w:val="none"/>
          <w:u w:val="single"/>
          <w:shd w:val="clear"/>
          <w:lang w:val="en-US" w:eastAsia="zh-CN" w:bidi="ar"/>
          <w14:textFill>
            <w14:solidFill>
              <w14:schemeClr w14:val="tx1"/>
            </w14:solidFill>
          </w14:textFill>
        </w:rPr>
        <w:t>【     】</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个日历日。</w:t>
      </w:r>
    </w:p>
    <w:p w14:paraId="3DECB6AF">
      <w:pPr>
        <w:widowControl/>
        <w:kinsoku/>
        <w:wordWrap/>
        <w:overflowPunct/>
        <w:topLinePunct w:val="0"/>
        <w:bidi w:val="0"/>
        <w:spacing w:line="300" w:lineRule="auto"/>
        <w:ind w:firstLine="420" w:firstLineChars="200"/>
        <w:jc w:val="left"/>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终验：所有货物安装完毕</w:t>
      </w:r>
      <w:r>
        <w:rPr>
          <w:rFonts w:hint="eastAsia" w:ascii="仿宋" w:hAnsi="仿宋" w:eastAsia="仿宋" w:cs="仿宋"/>
          <w:color w:val="000000" w:themeColor="text1"/>
          <w:sz w:val="21"/>
          <w:szCs w:val="21"/>
          <w:highlight w:val="none"/>
          <w:lang w:val="en-US" w:eastAsia="zh-CN"/>
          <w14:textFill>
            <w14:solidFill>
              <w14:schemeClr w14:val="tx1"/>
            </w14:solidFill>
          </w14:textFill>
        </w:rPr>
        <w:t>之日起</w:t>
      </w:r>
      <w:r>
        <w:rPr>
          <w:rFonts w:hint="eastAsia" w:ascii="仿宋" w:hAnsi="仿宋" w:eastAsia="仿宋" w:cs="仿宋"/>
          <w:color w:val="000000" w:themeColor="text1"/>
          <w:sz w:val="21"/>
          <w:szCs w:val="21"/>
          <w:highlight w:val="none"/>
          <w14:textFill>
            <w14:solidFill>
              <w14:schemeClr w14:val="tx1"/>
            </w14:solidFill>
          </w14:textFill>
        </w:rPr>
        <w:t>10个日历日后，由采购人（买方）、使用单位进行验收，合格后签发《验收合格单》。</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具体验收标准和方法包括但不限于：</w:t>
      </w:r>
    </w:p>
    <w:p w14:paraId="59B9E69C">
      <w:pPr>
        <w:widowControl/>
        <w:numPr>
          <w:ilvl w:val="0"/>
          <w:numId w:val="1"/>
        </w:numPr>
        <w:kinsoku/>
        <w:wordWrap/>
        <w:overflowPunct/>
        <w:topLinePunct w:val="0"/>
        <w:bidi w:val="0"/>
        <w:spacing w:line="300" w:lineRule="auto"/>
        <w:ind w:firstLine="420" w:firstLineChars="200"/>
        <w:jc w:val="left"/>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货物的外观无损坏，无明显瑕疵；</w:t>
      </w:r>
    </w:p>
    <w:p w14:paraId="584A83F5">
      <w:pPr>
        <w:widowControl/>
        <w:numPr>
          <w:ilvl w:val="-1"/>
          <w:numId w:val="0"/>
        </w:numPr>
        <w:kinsoku/>
        <w:wordWrap/>
        <w:overflowPunct/>
        <w:topLinePunct w:val="0"/>
        <w:bidi w:val="0"/>
        <w:spacing w:line="300" w:lineRule="auto"/>
        <w:ind w:firstLine="420" w:firstLineChars="200"/>
        <w:jc w:val="left"/>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2. 货物的功能符合合同及招标文件的要求；</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br w:type="textWrapping"/>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 xml:space="preserve">    3. 货物的性能指标达到合同及招标文件规定的标准；</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br w:type="textWrapping"/>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 xml:space="preserve">    4. 货物的安装、调试符合合同及招标文件的要求；</w:t>
      </w:r>
    </w:p>
    <w:p w14:paraId="00AE5103">
      <w:pPr>
        <w:widowControl/>
        <w:kinsoku/>
        <w:wordWrap/>
        <w:overflowPunct/>
        <w:topLinePunct w:val="0"/>
        <w:bidi w:val="0"/>
        <w:spacing w:line="300" w:lineRule="auto"/>
        <w:ind w:firstLine="420" w:firstLineChars="200"/>
        <w:jc w:val="left"/>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pP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5.货物实现正常使用目的；</w:t>
      </w:r>
    </w:p>
    <w:p w14:paraId="2D74AFA3">
      <w:pPr>
        <w:widowControl/>
        <w:kinsoku/>
        <w:wordWrap/>
        <w:overflowPunct/>
        <w:topLinePunct w:val="0"/>
        <w:bidi w:val="0"/>
        <w:spacing w:line="300" w:lineRule="auto"/>
        <w:ind w:firstLine="420" w:firstLineChars="20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6. 货物的文档资料齐全，包括但不限于操作手册、维护手册、质量保证书等。检验机构为</w:t>
      </w:r>
      <w:r>
        <w:rPr>
          <w:rFonts w:hint="eastAsia" w:ascii="仿宋" w:hAnsi="仿宋" w:eastAsia="仿宋" w:cs="仿宋"/>
          <w:i w:val="0"/>
          <w:iCs w:val="0"/>
          <w:caps w:val="0"/>
          <w:color w:val="000000" w:themeColor="text1"/>
          <w:spacing w:val="0"/>
          <w:kern w:val="2"/>
          <w:sz w:val="21"/>
          <w:szCs w:val="21"/>
          <w:highlight w:val="none"/>
          <w:u w:val="single"/>
          <w:shd w:val="clear"/>
          <w:lang w:val="en-US" w:eastAsia="zh-CN" w:bidi="ar"/>
          <w14:textFill>
            <w14:solidFill>
              <w14:schemeClr w14:val="tx1"/>
            </w14:solidFill>
          </w14:textFill>
        </w:rPr>
        <w:t>【如有，具体检验机构名称】</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，检验方式为</w:t>
      </w:r>
      <w:r>
        <w:rPr>
          <w:rFonts w:hint="eastAsia" w:ascii="仿宋" w:hAnsi="仿宋" w:eastAsia="仿宋" w:cs="仿宋"/>
          <w:i w:val="0"/>
          <w:iCs w:val="0"/>
          <w:caps w:val="0"/>
          <w:color w:val="000000" w:themeColor="text1"/>
          <w:spacing w:val="0"/>
          <w:kern w:val="2"/>
          <w:sz w:val="21"/>
          <w:szCs w:val="21"/>
          <w:highlight w:val="none"/>
          <w:u w:val="single"/>
          <w:shd w:val="clear"/>
          <w:lang w:val="en-US" w:eastAsia="zh-CN" w:bidi="ar"/>
          <w14:textFill>
            <w14:solidFill>
              <w14:schemeClr w14:val="tx1"/>
            </w14:solidFill>
          </w14:textFill>
        </w:rPr>
        <w:t>【抽样检验/逐一检验】</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，检验期限为</w:t>
      </w:r>
      <w:r>
        <w:rPr>
          <w:rFonts w:hint="eastAsia" w:ascii="仿宋" w:hAnsi="仿宋" w:eastAsia="仿宋" w:cs="仿宋"/>
          <w:i w:val="0"/>
          <w:iCs w:val="0"/>
          <w:caps w:val="0"/>
          <w:color w:val="000000" w:themeColor="text1"/>
          <w:spacing w:val="0"/>
          <w:kern w:val="2"/>
          <w:sz w:val="21"/>
          <w:szCs w:val="21"/>
          <w:highlight w:val="none"/>
          <w:u w:val="single"/>
          <w:shd w:val="clear"/>
          <w:lang w:val="en-US" w:eastAsia="zh-CN" w:bidi="ar"/>
          <w14:textFill>
            <w14:solidFill>
              <w14:schemeClr w14:val="tx1"/>
            </w14:solidFill>
          </w14:textFill>
        </w:rPr>
        <w:t>【      】</w:t>
      </w:r>
      <w:r>
        <w:rPr>
          <w:rFonts w:hint="eastAsia" w:ascii="仿宋" w:hAnsi="仿宋" w:eastAsia="仿宋" w:cs="仿宋"/>
          <w:i w:val="0"/>
          <w:iCs w:val="0"/>
          <w:caps w:val="0"/>
          <w:color w:val="000000" w:themeColor="text1"/>
          <w:spacing w:val="0"/>
          <w:kern w:val="2"/>
          <w:sz w:val="21"/>
          <w:szCs w:val="21"/>
          <w:highlight w:val="none"/>
          <w:shd w:val="clear"/>
          <w:lang w:val="en-US" w:eastAsia="zh-CN" w:bidi="ar"/>
          <w14:textFill>
            <w14:solidFill>
              <w14:schemeClr w14:val="tx1"/>
            </w14:solidFill>
          </w14:textFill>
        </w:rPr>
        <w:t>个日历日。</w:t>
      </w:r>
      <w:r>
        <w:rPr>
          <w:rFonts w:hint="eastAsia" w:ascii="仿宋" w:hAnsi="仿宋" w:eastAsia="仿宋" w:cs="仿宋"/>
          <w:color w:val="000000" w:themeColor="text1"/>
          <w:sz w:val="21"/>
          <w:szCs w:val="21"/>
          <w:highlight w:val="none"/>
          <w14:textFill>
            <w14:solidFill>
              <w14:schemeClr w14:val="tx1"/>
            </w14:solidFill>
          </w14:textFill>
        </w:rPr>
        <w:cr/>
      </w:r>
      <w:r>
        <w:rPr>
          <w:rFonts w:hint="eastAsia" w:ascii="仿宋" w:hAnsi="仿宋" w:eastAsia="仿宋" w:cs="仿宋"/>
          <w:color w:val="000000" w:themeColor="text1"/>
          <w:sz w:val="21"/>
          <w:szCs w:val="21"/>
          <w:highlight w:val="none"/>
          <w14:textFill>
            <w14:solidFill>
              <w14:schemeClr w14:val="tx1"/>
            </w14:solidFill>
          </w14:textFill>
        </w:rPr>
        <w:t xml:space="preserve">    15-2、验收不合格的成交供应商，必须在接到通知后7个日历日内确保货物通过验收。如接到通知后7个日历日内验收仍不合格，采购人（买方）可提出索赔或取消其供货合同。采购代理机构将把成交资格授予评审排序下一名的成交供应商，或终止合同。</w:t>
      </w:r>
    </w:p>
    <w:p w14:paraId="27577523">
      <w:pPr>
        <w:kinsoku/>
        <w:wordWrap/>
        <w:overflowPunct/>
        <w:topLinePunct w:val="0"/>
        <w:bidi w:val="0"/>
        <w:adjustRightInd w:val="0"/>
        <w:snapToGrid w:val="0"/>
        <w:spacing w:line="300" w:lineRule="auto"/>
        <w:ind w:firstLine="411" w:firstLineChars="196"/>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15-3、验收依据</w:t>
      </w:r>
    </w:p>
    <w:p w14:paraId="6135938F">
      <w:pPr>
        <w:kinsoku/>
        <w:wordWrap/>
        <w:overflowPunct/>
        <w:topLinePunct w:val="0"/>
        <w:bidi w:val="0"/>
        <w:adjustRightInd w:val="0"/>
        <w:snapToGrid w:val="0"/>
        <w:spacing w:line="300" w:lineRule="auto"/>
        <w:ind w:firstLine="411" w:firstLineChars="196"/>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（1）合同文本及合同补充文件（条款）。 </w:t>
      </w:r>
    </w:p>
    <w:p w14:paraId="5F6AB89A">
      <w:pPr>
        <w:kinsoku/>
        <w:wordWrap/>
        <w:overflowPunct/>
        <w:topLinePunct w:val="0"/>
        <w:bidi w:val="0"/>
        <w:adjustRightInd w:val="0"/>
        <w:snapToGrid w:val="0"/>
        <w:spacing w:line="300" w:lineRule="auto"/>
        <w:ind w:firstLine="411" w:firstLineChars="196"/>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（2）产品的合法来源渠道证明文件。</w:t>
      </w:r>
    </w:p>
    <w:p w14:paraId="1C38DC1E">
      <w:pPr>
        <w:kinsoku/>
        <w:wordWrap/>
        <w:overflowPunct/>
        <w:topLinePunct w:val="0"/>
        <w:bidi w:val="0"/>
        <w:adjustRightInd w:val="0"/>
        <w:snapToGrid w:val="0"/>
        <w:spacing w:line="300" w:lineRule="auto"/>
        <w:ind w:firstLine="411" w:firstLineChars="196"/>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（3）买方招标文件。</w:t>
      </w:r>
    </w:p>
    <w:p w14:paraId="4C611B27">
      <w:pPr>
        <w:kinsoku/>
        <w:wordWrap/>
        <w:overflowPunct/>
        <w:topLinePunct w:val="0"/>
        <w:bidi w:val="0"/>
        <w:adjustRightInd w:val="0"/>
        <w:snapToGrid w:val="0"/>
        <w:spacing w:line="300" w:lineRule="auto"/>
        <w:ind w:firstLine="411" w:firstLineChars="196"/>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（4）成交供应商的投标文件。</w:t>
      </w:r>
    </w:p>
    <w:p w14:paraId="445B801C">
      <w:pPr>
        <w:kinsoku/>
        <w:wordWrap/>
        <w:overflowPunct/>
        <w:topLinePunct w:val="0"/>
        <w:bidi w:val="0"/>
        <w:adjustRightInd w:val="0"/>
        <w:snapToGrid w:val="0"/>
        <w:spacing w:line="300" w:lineRule="auto"/>
        <w:ind w:firstLine="411" w:firstLineChars="196"/>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（5）合同货物清单。</w:t>
      </w:r>
    </w:p>
    <w:p w14:paraId="054E7CF4">
      <w:pPr>
        <w:kinsoku/>
        <w:wordWrap/>
        <w:overflowPunct/>
        <w:topLinePunct w:val="0"/>
        <w:bidi w:val="0"/>
        <w:adjustRightInd w:val="0"/>
        <w:snapToGrid w:val="0"/>
        <w:spacing w:line="300" w:lineRule="auto"/>
        <w:ind w:firstLine="411" w:firstLineChars="196"/>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（6）生产厂家的企业资质、货物的执行标准。</w:t>
      </w:r>
    </w:p>
    <w:p w14:paraId="2F1C5AC2">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16、误期赔偿费</w:t>
      </w:r>
    </w:p>
    <w:p w14:paraId="6DD28E34">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除合同条款第19条规定的情况外，如果卖方没有按照合同规定的时间交货和提供服务，买方应在不影响</w:t>
      </w:r>
      <w:r>
        <w:rPr>
          <w:rFonts w:hint="eastAsia" w:ascii="仿宋" w:hAnsi="仿宋" w:eastAsia="仿宋" w:cs="仿宋"/>
          <w:color w:val="000000" w:themeColor="text1"/>
          <w:kern w:val="0"/>
          <w:sz w:val="21"/>
          <w:szCs w:val="21"/>
          <w:highlight w:val="none"/>
          <w14:textFill>
            <w14:solidFill>
              <w14:schemeClr w14:val="tx1"/>
            </w14:solidFill>
          </w14:textFill>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41A656E7">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17、违约终止合同</w:t>
      </w:r>
    </w:p>
    <w:p w14:paraId="2560B90E">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17-1、在买方对卖方违约而采取的任何补救措施不受影响的情况下，买方</w:t>
      </w:r>
      <w: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t>有权</w:t>
      </w:r>
      <w:r>
        <w:rPr>
          <w:rFonts w:hint="eastAsia" w:ascii="仿宋" w:hAnsi="仿宋" w:eastAsia="仿宋" w:cs="仿宋"/>
          <w:color w:val="000000" w:themeColor="text1"/>
          <w:kern w:val="0"/>
          <w:sz w:val="21"/>
          <w:szCs w:val="21"/>
          <w:highlight w:val="none"/>
          <w14:textFill>
            <w14:solidFill>
              <w14:schemeClr w14:val="tx1"/>
            </w14:solidFill>
          </w14:textFill>
        </w:rPr>
        <w:t>向卖方发出书面违约通知书，提出终止部分或全部合同：</w:t>
      </w:r>
    </w:p>
    <w:p w14:paraId="2C55B83C">
      <w:pPr>
        <w:widowControl/>
        <w:kinsoku/>
        <w:wordWrap/>
        <w:overflowPunct/>
        <w:topLinePunct w:val="0"/>
        <w:autoSpaceDN w:val="0"/>
        <w:bidi w:val="0"/>
        <w:adjustRightInd w:val="0"/>
        <w:spacing w:line="300" w:lineRule="auto"/>
        <w:ind w:firstLine="420" w:firstLineChars="200"/>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（1）如果卖方未能在合同规定的期限内</w:t>
      </w:r>
      <w:r>
        <w:rPr>
          <w:rFonts w:hint="eastAsia" w:ascii="仿宋" w:hAnsi="仿宋" w:eastAsia="仿宋" w:cs="仿宋"/>
          <w:color w:val="000000" w:themeColor="text1"/>
          <w:kern w:val="0"/>
          <w:sz w:val="21"/>
          <w:szCs w:val="21"/>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kern w:val="0"/>
          <w:sz w:val="21"/>
          <w:szCs w:val="21"/>
          <w:highlight w:val="none"/>
          <w:shd w:val="clear"/>
          <w:lang w:val="en-US" w:eastAsia="zh-CN" w:bidi="ar"/>
          <w14:textFill>
            <w14:solidFill>
              <w14:schemeClr w14:val="tx1"/>
            </w14:solidFill>
          </w14:textFill>
        </w:rPr>
        <w:t>即</w:t>
      </w:r>
      <w:r>
        <w:rPr>
          <w:rFonts w:hint="eastAsia" w:ascii="仿宋" w:hAnsi="仿宋" w:eastAsia="仿宋" w:cs="仿宋"/>
          <w:i w:val="0"/>
          <w:iCs w:val="0"/>
          <w:caps w:val="0"/>
          <w:color w:val="000000" w:themeColor="text1"/>
          <w:spacing w:val="0"/>
          <w:kern w:val="0"/>
          <w:sz w:val="21"/>
          <w:szCs w:val="21"/>
          <w:highlight w:val="none"/>
          <w:u w:val="single"/>
          <w:shd w:val="clear"/>
          <w:lang w:val="en-US" w:eastAsia="zh-CN" w:bidi="ar"/>
          <w14:textFill>
            <w14:solidFill>
              <w14:schemeClr w14:val="tx1"/>
            </w14:solidFill>
          </w14:textFill>
        </w:rPr>
        <w:t>202X年XX月XX日</w:t>
      </w:r>
      <w:r>
        <w:rPr>
          <w:rFonts w:hint="eastAsia" w:ascii="仿宋" w:hAnsi="仿宋" w:eastAsia="仿宋" w:cs="仿宋"/>
          <w:i w:val="0"/>
          <w:iCs w:val="0"/>
          <w:caps w:val="0"/>
          <w:color w:val="000000" w:themeColor="text1"/>
          <w:spacing w:val="0"/>
          <w:kern w:val="0"/>
          <w:sz w:val="21"/>
          <w:szCs w:val="21"/>
          <w:highlight w:val="none"/>
          <w:shd w:val="clear"/>
          <w:lang w:val="en-US" w:eastAsia="zh-CN" w:bidi="ar"/>
          <w14:textFill>
            <w14:solidFill>
              <w14:schemeClr w14:val="tx1"/>
            </w14:solidFill>
          </w14:textFill>
        </w:rPr>
        <w:t>前，</w:t>
      </w:r>
      <w:r>
        <w:rPr>
          <w:rFonts w:hint="eastAsia" w:ascii="仿宋" w:hAnsi="仿宋" w:eastAsia="仿宋" w:cs="仿宋"/>
          <w:color w:val="000000" w:themeColor="text1"/>
          <w:kern w:val="0"/>
          <w:sz w:val="21"/>
          <w:szCs w:val="21"/>
          <w:highlight w:val="none"/>
          <w14:textFill>
            <w14:solidFill>
              <w14:schemeClr w14:val="tx1"/>
            </w14:solidFill>
          </w14:textFill>
        </w:rPr>
        <w:t>或买方根据合同条款第14-2条的规定同意延长的期限内提供部分或全部货物；或</w:t>
      </w:r>
      <w:r>
        <w:rPr>
          <w:rFonts w:hint="eastAsia" w:ascii="仿宋" w:hAnsi="仿宋" w:eastAsia="仿宋" w:cs="仿宋"/>
          <w:color w:val="000000" w:themeColor="text1"/>
          <w:sz w:val="21"/>
          <w:szCs w:val="21"/>
          <w:highlight w:val="none"/>
          <w14:textFill>
            <w14:solidFill>
              <w14:schemeClr w14:val="tx1"/>
            </w14:solidFill>
          </w14:textFill>
        </w:rPr>
        <w:t>误期赔偿费达到最高限额</w:t>
      </w:r>
      <w:r>
        <w:rPr>
          <w:rFonts w:hint="eastAsia" w:ascii="仿宋" w:hAnsi="仿宋" w:eastAsia="仿宋" w:cs="仿宋"/>
          <w:i w:val="0"/>
          <w:iCs w:val="0"/>
          <w:caps w:val="0"/>
          <w:color w:val="000000" w:themeColor="text1"/>
          <w:spacing w:val="0"/>
          <w:kern w:val="0"/>
          <w:sz w:val="21"/>
          <w:szCs w:val="21"/>
          <w:highlight w:val="none"/>
          <w:shd w:val="clear"/>
          <w:lang w:val="en-US" w:eastAsia="zh-CN" w:bidi="ar"/>
          <w14:textFill>
            <w14:solidFill>
              <w14:schemeClr w14:val="tx1"/>
            </w14:solidFill>
          </w14:textFill>
        </w:rPr>
        <w:t>时，买方可以选择终止合同。</w:t>
      </w:r>
    </w:p>
    <w:p w14:paraId="6ECBAF61">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（2）如果卖方未能履行合同规定的其它任何义务，则应承担合同约定价20%的违约金。</w:t>
      </w:r>
    </w:p>
    <w:p w14:paraId="17142150">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（3）如果买方认为卖方在本合同的竞争和实施过程中有腐败和欺诈行为。为此目的，定义下述条件：</w:t>
      </w:r>
    </w:p>
    <w:p w14:paraId="7A4EC450">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“腐败行为”是指提供、给予、接受或索取任何有价值的物品来影响买方在采购过程或合同实施过程中的行为。</w:t>
      </w:r>
    </w:p>
    <w:p w14:paraId="3ACE317E">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“欺诈行为”是指为了影响采购过程或合同实施过程而谎报或隐瞒事实，损害买方利益的行为。</w:t>
      </w:r>
    </w:p>
    <w:p w14:paraId="134D6F24">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1CAD6CAE">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18、不可抗力</w:t>
      </w:r>
    </w:p>
    <w:p w14:paraId="442F1651">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18-1、签约买卖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D7809B9">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119F86A">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18-3、因合同一方迟延履行合同后发生不可抗力的，不能免除迟延履行方的相应责任。</w:t>
      </w:r>
    </w:p>
    <w:p w14:paraId="3C5BDE2A">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19、因破产而终止合同</w:t>
      </w:r>
    </w:p>
    <w:p w14:paraId="2B66BB10">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如果卖方破产或无清偿能力，买方可在任何时候以书面形式通知卖方，提出终止合同而不给卖方补偿。该合同的终止将不损害或影响买方已经采取或将要采取的任何行动或补救措施的权力。</w:t>
      </w:r>
    </w:p>
    <w:p w14:paraId="1F232B6F">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20、因买方的便利而终止合同</w:t>
      </w:r>
    </w:p>
    <w:p w14:paraId="2345F3E7">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20-1、买方可在任何时候出于自身的便利向卖方发出书面通知全部或部分终止合同，终止通知应明确该终止合同是出于买方的便利，并明确合同终止的程度，以及终止的生效日期。</w:t>
      </w:r>
    </w:p>
    <w:p w14:paraId="4DAAAFB2">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20-2、对卖方收到终止通知后十（10）天内已完成并准备装运的货物，买方应按原合同价格和条款予以接收，对于剩下的货物，买方可：</w:t>
      </w:r>
    </w:p>
    <w:p w14:paraId="28232425">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（1）仅对部分货物按照原来的合同价格和条款予以接受；</w:t>
      </w:r>
    </w:p>
    <w:p w14:paraId="672E692B">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（2）取消对所剩货物的采购，并按双方商定的金额向卖方支付部分完成的货物和服务以及卖方以前已采购的材料和部件的费用。</w:t>
      </w:r>
    </w:p>
    <w:p w14:paraId="7A858CA1">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21、争议的解决</w:t>
      </w:r>
    </w:p>
    <w:p w14:paraId="5711C1D1">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因执行本合同发生的一切争议，双方应首先友好协商解决。经协商不能解决，应向</w:t>
      </w:r>
      <w: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t>买方</w:t>
      </w:r>
      <w:r>
        <w:rPr>
          <w:rFonts w:hint="eastAsia" w:ascii="仿宋" w:hAnsi="仿宋" w:eastAsia="仿宋" w:cs="仿宋"/>
          <w:color w:val="000000" w:themeColor="text1"/>
          <w:kern w:val="0"/>
          <w:sz w:val="21"/>
          <w:szCs w:val="21"/>
          <w:highlight w:val="none"/>
          <w14:textFill>
            <w14:solidFill>
              <w14:schemeClr w14:val="tx1"/>
            </w14:solidFill>
          </w14:textFill>
        </w:rPr>
        <w:t>所在地人民法院提起诉讼。因诉讼产生的诉讼费、律师费、保全费、保全担保费、鉴定费、评估费等费用均由</w:t>
      </w:r>
      <w:r>
        <w:rPr>
          <w:rFonts w:hint="eastAsia" w:ascii="仿宋" w:hAnsi="仿宋" w:eastAsia="仿宋" w:cs="仿宋"/>
          <w:color w:val="000000" w:themeColor="text1"/>
          <w:kern w:val="0"/>
          <w:sz w:val="21"/>
          <w:szCs w:val="21"/>
          <w:highlight w:val="none"/>
          <w:lang w:val="en-US" w:eastAsia="zh-CN"/>
          <w14:textFill>
            <w14:solidFill>
              <w14:schemeClr w14:val="tx1"/>
            </w14:solidFill>
          </w14:textFill>
        </w:rPr>
        <w:t>违约方</w:t>
      </w:r>
      <w:r>
        <w:rPr>
          <w:rFonts w:hint="eastAsia" w:ascii="仿宋" w:hAnsi="仿宋" w:eastAsia="仿宋" w:cs="仿宋"/>
          <w:color w:val="000000" w:themeColor="text1"/>
          <w:kern w:val="0"/>
          <w:sz w:val="21"/>
          <w:szCs w:val="21"/>
          <w:highlight w:val="none"/>
          <w14:textFill>
            <w14:solidFill>
              <w14:schemeClr w14:val="tx1"/>
            </w14:solidFill>
          </w14:textFill>
        </w:rPr>
        <w:t>承担。在诉讼期间，除必须在诉讼过程中进行解决的问题外，合同其余部分应继续履行。</w:t>
      </w:r>
    </w:p>
    <w:p w14:paraId="3A167E90">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22、适用法律</w:t>
      </w:r>
    </w:p>
    <w:p w14:paraId="0C0229F7">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本合同应按照中华人民共和国的现行法律进行解释。</w:t>
      </w:r>
    </w:p>
    <w:p w14:paraId="4A109F6E">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23、通知</w:t>
      </w:r>
    </w:p>
    <w:p w14:paraId="7AC1095D">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23-1、本合同一方给对方的通知应用书面形式送到合同专用条款中规定的对方的地址。传真要经书面确认。</w:t>
      </w:r>
    </w:p>
    <w:p w14:paraId="5A911CC9">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23-2、通知以送到日期或通知书的生效日期为生效日期，两者中以晚的一个日期为准。</w:t>
      </w:r>
    </w:p>
    <w:p w14:paraId="0C0A295C">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24、税款</w:t>
      </w:r>
    </w:p>
    <w:p w14:paraId="7CE155D5">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24-1、按照中华人民共和国税法和有关部门的规定，买方需交纳的与本合同有关的一切税费均应由买方负担。</w:t>
      </w:r>
    </w:p>
    <w:p w14:paraId="6BA6BB0C">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24-2、按照中华人民共和国税法和有关部门的规定，卖方需交纳的与本合同有关的一切税费均应由卖方负担。</w:t>
      </w:r>
    </w:p>
    <w:p w14:paraId="7662A023">
      <w:pPr>
        <w:kinsoku/>
        <w:wordWrap/>
        <w:overflowPunct/>
        <w:topLinePunct w:val="0"/>
        <w:autoSpaceDN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25、合同生效</w:t>
      </w:r>
    </w:p>
    <w:p w14:paraId="40A64465">
      <w:pPr>
        <w:kinsoku/>
        <w:wordWrap/>
        <w:overflowPunct/>
        <w:topLinePunct w:val="0"/>
        <w:bidi w:val="0"/>
        <w:spacing w:line="300" w:lineRule="auto"/>
        <w:ind w:firstLine="371" w:firstLineChars="177"/>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本合同由买卖双方法定代表人/授权代表及鉴证方共同签字并加盖公章/合同专用章之日起生效。</w:t>
      </w:r>
    </w:p>
    <w:p w14:paraId="459A9CE6">
      <w:pPr>
        <w:pStyle w:val="9"/>
        <w:kinsoku/>
        <w:wordWrap/>
        <w:overflowPunct/>
        <w:topLinePunct w:val="0"/>
        <w:bidi w:val="0"/>
        <w:spacing w:line="300" w:lineRule="auto"/>
        <w:rPr>
          <w:rFonts w:hint="eastAsia" w:ascii="仿宋" w:hAnsi="仿宋" w:eastAsia="仿宋" w:cs="仿宋"/>
          <w:color w:val="000000" w:themeColor="text1"/>
          <w:kern w:val="0"/>
          <w:sz w:val="21"/>
          <w:szCs w:val="21"/>
          <w:highlight w:val="none"/>
          <w14:textFill>
            <w14:solidFill>
              <w14:schemeClr w14:val="tx1"/>
            </w14:solidFill>
          </w14:textFill>
        </w:rPr>
      </w:pPr>
    </w:p>
    <w:p w14:paraId="578204F6">
      <w:pPr>
        <w:pStyle w:val="9"/>
        <w:kinsoku/>
        <w:wordWrap/>
        <w:overflowPunct/>
        <w:topLinePunct w:val="0"/>
        <w:bidi w:val="0"/>
        <w:spacing w:line="300" w:lineRule="auto"/>
        <w:rPr>
          <w:rFonts w:hint="eastAsia" w:ascii="仿宋" w:hAnsi="仿宋" w:eastAsia="仿宋" w:cs="仿宋"/>
          <w:color w:val="000000" w:themeColor="text1"/>
          <w:kern w:val="0"/>
          <w:sz w:val="21"/>
          <w:szCs w:val="21"/>
          <w:highlight w:val="none"/>
          <w14:textFill>
            <w14:solidFill>
              <w14:schemeClr w14:val="tx1"/>
            </w14:solidFill>
          </w14:textFill>
        </w:rPr>
      </w:pPr>
    </w:p>
    <w:p w14:paraId="3205304D">
      <w:pPr>
        <w:pStyle w:val="9"/>
        <w:kinsoku/>
        <w:wordWrap/>
        <w:overflowPunct/>
        <w:topLinePunct w:val="0"/>
        <w:bidi w:val="0"/>
        <w:spacing w:line="300" w:lineRule="auto"/>
        <w:rPr>
          <w:rFonts w:hint="eastAsia" w:ascii="仿宋" w:hAnsi="仿宋" w:eastAsia="仿宋" w:cs="仿宋"/>
          <w:color w:val="000000" w:themeColor="text1"/>
          <w:kern w:val="0"/>
          <w:sz w:val="21"/>
          <w:szCs w:val="21"/>
          <w:highlight w:val="none"/>
          <w14:textFill>
            <w14:solidFill>
              <w14:schemeClr w14:val="tx1"/>
            </w14:solidFill>
          </w14:textFill>
        </w:rPr>
      </w:pPr>
    </w:p>
    <w:p w14:paraId="0C1AD923">
      <w:pPr>
        <w:pStyle w:val="9"/>
        <w:kinsoku/>
        <w:wordWrap/>
        <w:overflowPunct/>
        <w:topLinePunct w:val="0"/>
        <w:bidi w:val="0"/>
        <w:spacing w:line="300" w:lineRule="auto"/>
        <w:rPr>
          <w:rFonts w:hint="eastAsia" w:ascii="仿宋" w:hAnsi="仿宋" w:eastAsia="仿宋" w:cs="仿宋"/>
          <w:color w:val="000000" w:themeColor="text1"/>
          <w:kern w:val="0"/>
          <w:sz w:val="21"/>
          <w:szCs w:val="21"/>
          <w:highlight w:val="none"/>
          <w14:textFill>
            <w14:solidFill>
              <w14:schemeClr w14:val="tx1"/>
            </w14:solidFill>
          </w14:textFill>
        </w:rPr>
      </w:pPr>
    </w:p>
    <w:p w14:paraId="6E42502F">
      <w:pPr>
        <w:pStyle w:val="9"/>
        <w:kinsoku/>
        <w:wordWrap/>
        <w:overflowPunct/>
        <w:topLinePunct w:val="0"/>
        <w:bidi w:val="0"/>
        <w:spacing w:line="300" w:lineRule="auto"/>
        <w:rPr>
          <w:rFonts w:hint="eastAsia" w:ascii="仿宋" w:hAnsi="仿宋" w:eastAsia="仿宋" w:cs="仿宋"/>
          <w:color w:val="000000" w:themeColor="text1"/>
          <w:kern w:val="0"/>
          <w:sz w:val="21"/>
          <w:szCs w:val="21"/>
          <w:highlight w:val="none"/>
          <w14:textFill>
            <w14:solidFill>
              <w14:schemeClr w14:val="tx1"/>
            </w14:solidFill>
          </w14:textFill>
        </w:rPr>
        <w:sectPr>
          <w:footerReference r:id="rId4" w:type="default"/>
          <w:pgSz w:w="11906" w:h="16838"/>
          <w:pgMar w:top="1418" w:right="1418" w:bottom="1418" w:left="1134" w:header="907" w:footer="1021" w:gutter="567"/>
          <w:pgNumType w:fmt="decimal" w:start="1"/>
          <w:cols w:space="720" w:num="1"/>
          <w:docGrid w:linePitch="312" w:charSpace="0"/>
        </w:sectPr>
      </w:pPr>
    </w:p>
    <w:p w14:paraId="52FCC96C">
      <w:pPr>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附件1—货物清单</w:t>
      </w:r>
    </w:p>
    <w:p w14:paraId="46C81D0F">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tbl>
      <w:tblPr>
        <w:tblStyle w:val="6"/>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25B8576B">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0FA6B6">
            <w:pPr>
              <w:widowControl/>
              <w:kinsoku/>
              <w:wordWrap/>
              <w:overflowPunct/>
              <w:topLinePunct w:val="0"/>
              <w:bidi w:val="0"/>
              <w:spacing w:line="300" w:lineRule="auto"/>
              <w:jc w:val="center"/>
              <w:textAlignment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lang w:bidi="ar"/>
                <w14:textFill>
                  <w14:solidFill>
                    <w14:schemeClr w14:val="tx1"/>
                  </w14:solidFill>
                </w14:textFill>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7B5AED">
            <w:pPr>
              <w:widowControl/>
              <w:kinsoku/>
              <w:wordWrap/>
              <w:overflowPunct/>
              <w:topLinePunct w:val="0"/>
              <w:bidi w:val="0"/>
              <w:spacing w:line="300" w:lineRule="auto"/>
              <w:jc w:val="center"/>
              <w:textAlignment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lang w:bidi="ar"/>
                <w14:textFill>
                  <w14:solidFill>
                    <w14:schemeClr w14:val="tx1"/>
                  </w14:solidFill>
                </w14:textFill>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5C0287">
            <w:pPr>
              <w:widowControl/>
              <w:kinsoku/>
              <w:wordWrap/>
              <w:overflowPunct/>
              <w:topLinePunct w:val="0"/>
              <w:bidi w:val="0"/>
              <w:spacing w:line="300" w:lineRule="auto"/>
              <w:jc w:val="center"/>
              <w:textAlignment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lang w:bidi="ar"/>
                <w14:textFill>
                  <w14:solidFill>
                    <w14:schemeClr w14:val="tx1"/>
                  </w14:solidFill>
                </w14:textFill>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D9B303">
            <w:pPr>
              <w:widowControl/>
              <w:kinsoku/>
              <w:wordWrap/>
              <w:overflowPunct/>
              <w:topLinePunct w:val="0"/>
              <w:bidi w:val="0"/>
              <w:spacing w:line="300" w:lineRule="auto"/>
              <w:jc w:val="center"/>
              <w:textAlignment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lang w:bidi="ar"/>
                <w14:textFill>
                  <w14:solidFill>
                    <w14:schemeClr w14:val="tx1"/>
                  </w14:solidFill>
                </w14:textFill>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B535E2">
            <w:pPr>
              <w:widowControl/>
              <w:kinsoku/>
              <w:wordWrap/>
              <w:overflowPunct/>
              <w:topLinePunct w:val="0"/>
              <w:bidi w:val="0"/>
              <w:spacing w:line="300" w:lineRule="auto"/>
              <w:jc w:val="center"/>
              <w:textAlignment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lang w:bidi="ar"/>
                <w14:textFill>
                  <w14:solidFill>
                    <w14:schemeClr w14:val="tx1"/>
                  </w14:solidFill>
                </w14:textFill>
              </w:rPr>
              <w:t>规格和说明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E0F6FE">
            <w:pPr>
              <w:widowControl/>
              <w:kinsoku/>
              <w:wordWrap/>
              <w:overflowPunct/>
              <w:topLinePunct w:val="0"/>
              <w:bidi w:val="0"/>
              <w:spacing w:line="300" w:lineRule="auto"/>
              <w:jc w:val="center"/>
              <w:textAlignment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lang w:bidi="ar"/>
                <w14:textFill>
                  <w14:solidFill>
                    <w14:schemeClr w14:val="tx1"/>
                  </w14:solidFill>
                </w14:textFill>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704A96">
            <w:pPr>
              <w:widowControl/>
              <w:kinsoku/>
              <w:wordWrap/>
              <w:overflowPunct/>
              <w:topLinePunct w:val="0"/>
              <w:bidi w:val="0"/>
              <w:spacing w:line="300" w:lineRule="auto"/>
              <w:jc w:val="center"/>
              <w:textAlignment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lang w:bidi="ar"/>
                <w14:textFill>
                  <w14:solidFill>
                    <w14:schemeClr w14:val="tx1"/>
                  </w14:solidFill>
                </w14:textFill>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EA2DF0">
            <w:pPr>
              <w:widowControl/>
              <w:kinsoku/>
              <w:wordWrap/>
              <w:overflowPunct/>
              <w:topLinePunct w:val="0"/>
              <w:bidi w:val="0"/>
              <w:spacing w:line="300" w:lineRule="auto"/>
              <w:jc w:val="center"/>
              <w:textAlignment w:val="center"/>
              <w:rPr>
                <w:rFonts w:hint="eastAsia" w:ascii="仿宋" w:hAnsi="仿宋" w:eastAsia="仿宋" w:cs="仿宋"/>
                <w:b/>
                <w:color w:val="000000" w:themeColor="text1"/>
                <w:kern w:val="0"/>
                <w:sz w:val="21"/>
                <w:szCs w:val="21"/>
                <w:highlight w:val="none"/>
                <w:lang w:bidi="ar"/>
                <w14:textFill>
                  <w14:solidFill>
                    <w14:schemeClr w14:val="tx1"/>
                  </w14:solidFill>
                </w14:textFill>
              </w:rPr>
            </w:pPr>
            <w:r>
              <w:rPr>
                <w:rFonts w:hint="eastAsia" w:ascii="仿宋" w:hAnsi="仿宋" w:eastAsia="仿宋" w:cs="仿宋"/>
                <w:b/>
                <w:color w:val="000000" w:themeColor="text1"/>
                <w:kern w:val="0"/>
                <w:sz w:val="21"/>
                <w:szCs w:val="21"/>
                <w:highlight w:val="none"/>
                <w:lang w:bidi="ar"/>
                <w14:textFill>
                  <w14:solidFill>
                    <w14:schemeClr w14:val="tx1"/>
                  </w14:solidFill>
                </w14:textFill>
              </w:rPr>
              <w:t>单价</w:t>
            </w:r>
          </w:p>
          <w:p w14:paraId="6DF13B08">
            <w:pPr>
              <w:widowControl/>
              <w:kinsoku/>
              <w:wordWrap/>
              <w:overflowPunct/>
              <w:topLinePunct w:val="0"/>
              <w:bidi w:val="0"/>
              <w:spacing w:line="300" w:lineRule="auto"/>
              <w:jc w:val="center"/>
              <w:textAlignment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lang w:bidi="ar"/>
                <w14:textFill>
                  <w14:solidFill>
                    <w14:schemeClr w14:val="tx1"/>
                  </w14:solidFill>
                </w14:textFill>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72A302">
            <w:pPr>
              <w:widowControl/>
              <w:kinsoku/>
              <w:wordWrap/>
              <w:overflowPunct/>
              <w:topLinePunct w:val="0"/>
              <w:bidi w:val="0"/>
              <w:spacing w:line="300" w:lineRule="auto"/>
              <w:jc w:val="center"/>
              <w:textAlignment w:val="center"/>
              <w:rPr>
                <w:rFonts w:hint="eastAsia" w:ascii="仿宋" w:hAnsi="仿宋" w:eastAsia="仿宋" w:cs="仿宋"/>
                <w:b/>
                <w:color w:val="000000" w:themeColor="text1"/>
                <w:kern w:val="0"/>
                <w:sz w:val="21"/>
                <w:szCs w:val="21"/>
                <w:highlight w:val="none"/>
                <w:lang w:bidi="ar"/>
                <w14:textFill>
                  <w14:solidFill>
                    <w14:schemeClr w14:val="tx1"/>
                  </w14:solidFill>
                </w14:textFill>
              </w:rPr>
            </w:pPr>
            <w:r>
              <w:rPr>
                <w:rFonts w:hint="eastAsia" w:ascii="仿宋" w:hAnsi="仿宋" w:eastAsia="仿宋" w:cs="仿宋"/>
                <w:b/>
                <w:color w:val="000000" w:themeColor="text1"/>
                <w:kern w:val="0"/>
                <w:sz w:val="21"/>
                <w:szCs w:val="21"/>
                <w:highlight w:val="none"/>
                <w:lang w:bidi="ar"/>
                <w14:textFill>
                  <w14:solidFill>
                    <w14:schemeClr w14:val="tx1"/>
                  </w14:solidFill>
                </w14:textFill>
              </w:rPr>
              <w:t>总价</w:t>
            </w:r>
          </w:p>
          <w:p w14:paraId="7AE45C5D">
            <w:pPr>
              <w:widowControl/>
              <w:kinsoku/>
              <w:wordWrap/>
              <w:overflowPunct/>
              <w:topLinePunct w:val="0"/>
              <w:bidi w:val="0"/>
              <w:spacing w:line="300" w:lineRule="auto"/>
              <w:jc w:val="center"/>
              <w:textAlignment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lang w:bidi="ar"/>
                <w14:textFill>
                  <w14:solidFill>
                    <w14:schemeClr w14:val="tx1"/>
                  </w14:solidFill>
                </w14:textFill>
              </w:rPr>
              <w:t>（人民币元）</w:t>
            </w:r>
          </w:p>
        </w:tc>
      </w:tr>
      <w:tr w14:paraId="3E45902F">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FE729F">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013EE">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966F4">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3F8225">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70A7AC">
            <w:pPr>
              <w:widowControl/>
              <w:kinsoku/>
              <w:wordWrap/>
              <w:overflowPunct/>
              <w:topLinePunct w:val="0"/>
              <w:bidi w:val="0"/>
              <w:spacing w:line="300" w:lineRule="auto"/>
              <w:textAlignment w:val="center"/>
              <w:rPr>
                <w:rFonts w:hint="eastAsia" w:ascii="仿宋" w:hAnsi="仿宋" w:eastAsia="仿宋" w:cs="仿宋"/>
                <w:color w:val="000000" w:themeColor="text1"/>
                <w:kern w:val="0"/>
                <w:sz w:val="21"/>
                <w:szCs w:val="21"/>
                <w:highlight w:val="none"/>
                <w:lang w:bidi="ar"/>
                <w14:textFill>
                  <w14:solidFill>
                    <w14:schemeClr w14:val="tx1"/>
                  </w14:solidFill>
                </w14:textFill>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DD5058">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01828">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BAEB8">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BA89CE">
            <w:pPr>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41698756">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B927BB">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5DD72">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7D0DD9">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88F07C">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E96CB">
            <w:pPr>
              <w:widowControl/>
              <w:kinsoku/>
              <w:wordWrap/>
              <w:overflowPunct/>
              <w:topLinePunct w:val="0"/>
              <w:bidi w:val="0"/>
              <w:spacing w:line="300" w:lineRule="auto"/>
              <w:textAlignment w:val="center"/>
              <w:rPr>
                <w:rFonts w:hint="eastAsia" w:ascii="仿宋" w:hAnsi="仿宋" w:eastAsia="仿宋" w:cs="仿宋"/>
                <w:color w:val="000000" w:themeColor="text1"/>
                <w:kern w:val="0"/>
                <w:sz w:val="21"/>
                <w:szCs w:val="21"/>
                <w:highlight w:val="none"/>
                <w:lang w:bidi="ar"/>
                <w14:textFill>
                  <w14:solidFill>
                    <w14:schemeClr w14:val="tx1"/>
                  </w14:solidFill>
                </w14:textFill>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6BCA1B">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537E9">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AED822">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A67F2B">
            <w:pPr>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0B630947">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79CB9B">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84B939">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C29739">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30458B">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E8A52F">
            <w:pPr>
              <w:widowControl/>
              <w:kinsoku/>
              <w:wordWrap/>
              <w:overflowPunct/>
              <w:topLinePunct w:val="0"/>
              <w:bidi w:val="0"/>
              <w:spacing w:line="300" w:lineRule="auto"/>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15E50D">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00E98E">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0CD184">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CE8222">
            <w:pPr>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6C9DB0A1">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0D9174">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91C431">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20565B">
            <w:pPr>
              <w:widowControl/>
              <w:kinsoku/>
              <w:wordWrap/>
              <w:overflowPunct/>
              <w:topLinePunct w:val="0"/>
              <w:bidi w:val="0"/>
              <w:spacing w:line="300" w:lineRule="auto"/>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w:t>
            </w:r>
          </w:p>
        </w:tc>
      </w:tr>
      <w:tr w14:paraId="61D2AFB7">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8E0CF1">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936E83">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038642">
            <w:pPr>
              <w:widowControl/>
              <w:kinsoku/>
              <w:wordWrap/>
              <w:overflowPunct/>
              <w:topLinePunct w:val="0"/>
              <w:bidi w:val="0"/>
              <w:spacing w:line="300" w:lineRule="auto"/>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4276C2">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0</w:t>
            </w:r>
          </w:p>
        </w:tc>
      </w:tr>
      <w:tr w14:paraId="6853F63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ABE502">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7D5C49">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4A3F33">
            <w:pPr>
              <w:widowControl/>
              <w:kinsoku/>
              <w:wordWrap/>
              <w:overflowPunct/>
              <w:topLinePunct w:val="0"/>
              <w:bidi w:val="0"/>
              <w:spacing w:line="300" w:lineRule="auto"/>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769D6">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0</w:t>
            </w:r>
          </w:p>
        </w:tc>
      </w:tr>
      <w:tr w14:paraId="2B5005A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192352">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6CF958">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A6AF37">
            <w:pPr>
              <w:widowControl/>
              <w:kinsoku/>
              <w:wordWrap/>
              <w:overflowPunct/>
              <w:topLinePunct w:val="0"/>
              <w:bidi w:val="0"/>
              <w:spacing w:line="300" w:lineRule="auto"/>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9C8966">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0</w:t>
            </w:r>
          </w:p>
        </w:tc>
      </w:tr>
      <w:tr w14:paraId="516BC125">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F53A86">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D2E744">
            <w:pPr>
              <w:widowControl/>
              <w:kinsoku/>
              <w:wordWrap/>
              <w:overflowPunct/>
              <w:topLinePunct w:val="0"/>
              <w:bidi w:val="0"/>
              <w:spacing w:line="300" w:lineRule="auto"/>
              <w:jc w:val="center"/>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FF0B93">
            <w:pPr>
              <w:widowControl/>
              <w:kinsoku/>
              <w:wordWrap/>
              <w:overflowPunct/>
              <w:topLinePunct w:val="0"/>
              <w:bidi w:val="0"/>
              <w:spacing w:line="300" w:lineRule="auto"/>
              <w:textAlignment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lang w:bidi="ar"/>
                <w14:textFill>
                  <w14:solidFill>
                    <w14:schemeClr w14:val="tx1"/>
                  </w14:solidFill>
                </w14:textFill>
              </w:rPr>
              <w:t xml:space="preserve">￥： </w:t>
            </w:r>
          </w:p>
        </w:tc>
      </w:tr>
      <w:tr w14:paraId="2831BAEE">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DD91DE">
            <w:pPr>
              <w:widowControl/>
              <w:kinsoku/>
              <w:wordWrap/>
              <w:overflowPunct/>
              <w:topLinePunct w:val="0"/>
              <w:bidi w:val="0"/>
              <w:spacing w:line="300" w:lineRule="auto"/>
              <w:jc w:val="center"/>
              <w:textAlignment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lang w:bidi="ar"/>
                <w14:textFill>
                  <w14:solidFill>
                    <w14:schemeClr w14:val="tx1"/>
                  </w14:solidFill>
                </w14:textFill>
              </w:rPr>
              <w:t>总报价含（安装调试、运输费、税费、售后服务费、技术培训费、伴随费用等）</w:t>
            </w:r>
          </w:p>
        </w:tc>
      </w:tr>
    </w:tbl>
    <w:p w14:paraId="16DD08AA">
      <w:pPr>
        <w:kinsoku/>
        <w:wordWrap/>
        <w:overflowPunct/>
        <w:topLinePunct w:val="0"/>
        <w:bidi w:val="0"/>
        <w:adjustRightInd w:val="0"/>
        <w:snapToGrid w:val="0"/>
        <w:spacing w:line="300" w:lineRule="auto"/>
        <w:rPr>
          <w:rFonts w:hint="eastAsia" w:ascii="仿宋" w:hAnsi="仿宋" w:eastAsia="仿宋" w:cs="仿宋"/>
          <w:b/>
          <w:bCs/>
          <w:color w:val="000000" w:themeColor="text1"/>
          <w:kern w:val="0"/>
          <w:sz w:val="21"/>
          <w:szCs w:val="21"/>
          <w:highlight w:val="none"/>
          <w14:textFill>
            <w14:solidFill>
              <w14:schemeClr w14:val="tx1"/>
            </w14:solidFill>
          </w14:textFill>
        </w:rPr>
      </w:pPr>
      <w:r>
        <w:rPr>
          <w:rFonts w:hint="eastAsia" w:ascii="仿宋" w:hAnsi="仿宋" w:eastAsia="仿宋" w:cs="仿宋"/>
          <w:b/>
          <w:bCs/>
          <w:color w:val="000000" w:themeColor="text1"/>
          <w:kern w:val="0"/>
          <w:sz w:val="21"/>
          <w:szCs w:val="21"/>
          <w:highlight w:val="none"/>
          <w14:textFill>
            <w14:solidFill>
              <w14:schemeClr w14:val="tx1"/>
            </w14:solidFill>
          </w14:textFill>
        </w:rPr>
        <w:t>交货期：自合同签订后</w:t>
      </w:r>
      <w:r>
        <w:rPr>
          <w:rFonts w:hint="eastAsia" w:ascii="仿宋" w:hAnsi="仿宋" w:eastAsia="仿宋" w:cs="仿宋"/>
          <w:b/>
          <w:bCs/>
          <w:color w:val="000000" w:themeColor="text1"/>
          <w:kern w:val="0"/>
          <w:sz w:val="21"/>
          <w:szCs w:val="21"/>
          <w:highlight w:val="none"/>
          <w:u w:val="single"/>
          <w14:textFill>
            <w14:solidFill>
              <w14:schemeClr w14:val="tx1"/>
            </w14:solidFill>
          </w14:textFill>
        </w:rPr>
        <w:t xml:space="preserve">            </w:t>
      </w:r>
      <w:r>
        <w:rPr>
          <w:rFonts w:hint="eastAsia" w:ascii="仿宋" w:hAnsi="仿宋" w:eastAsia="仿宋" w:cs="仿宋"/>
          <w:b/>
          <w:bCs/>
          <w:color w:val="000000" w:themeColor="text1"/>
          <w:kern w:val="0"/>
          <w:sz w:val="21"/>
          <w:szCs w:val="21"/>
          <w:highlight w:val="none"/>
          <w14:textFill>
            <w14:solidFill>
              <w14:schemeClr w14:val="tx1"/>
            </w14:solidFill>
          </w14:textFill>
        </w:rPr>
        <w:t>个日历日内</w:t>
      </w:r>
    </w:p>
    <w:p w14:paraId="38A2312F">
      <w:pPr>
        <w:kinsoku/>
        <w:wordWrap/>
        <w:overflowPunct/>
        <w:topLinePunct w:val="0"/>
        <w:bidi w:val="0"/>
        <w:adjustRightInd w:val="0"/>
        <w:snapToGrid w:val="0"/>
        <w:spacing w:line="300" w:lineRule="auto"/>
        <w:rPr>
          <w:rFonts w:hint="eastAsia" w:ascii="仿宋" w:hAnsi="仿宋" w:eastAsia="仿宋" w:cs="仿宋"/>
          <w:b/>
          <w:bCs/>
          <w:color w:val="000000" w:themeColor="text1"/>
          <w:kern w:val="0"/>
          <w:sz w:val="21"/>
          <w:szCs w:val="21"/>
          <w:highlight w:val="none"/>
          <w14:textFill>
            <w14:solidFill>
              <w14:schemeClr w14:val="tx1"/>
            </w14:solidFill>
          </w14:textFill>
        </w:rPr>
      </w:pPr>
      <w:r>
        <w:rPr>
          <w:rFonts w:hint="eastAsia" w:ascii="仿宋" w:hAnsi="仿宋" w:eastAsia="仿宋" w:cs="仿宋"/>
          <w:b/>
          <w:bCs/>
          <w:color w:val="000000" w:themeColor="text1"/>
          <w:kern w:val="0"/>
          <w:sz w:val="21"/>
          <w:szCs w:val="21"/>
          <w:highlight w:val="none"/>
          <w14:textFill>
            <w14:solidFill>
              <w14:schemeClr w14:val="tx1"/>
            </w14:solidFill>
          </w14:textFill>
        </w:rPr>
        <w:t>注：该项目招、投标文件为本合同的附件：详细技术参数详见该项目招、投标文件。</w:t>
      </w:r>
    </w:p>
    <w:p w14:paraId="7FD1294E">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sectPr>
          <w:pgSz w:w="16838" w:h="11906" w:orient="landscape"/>
          <w:pgMar w:top="1134" w:right="1418" w:bottom="1418" w:left="1418" w:header="907" w:footer="1021" w:gutter="567"/>
          <w:pgNumType w:fmt="decimal"/>
          <w:cols w:space="720" w:num="1"/>
          <w:docGrid w:linePitch="312" w:charSpace="0"/>
        </w:sectPr>
      </w:pPr>
    </w:p>
    <w:p w14:paraId="2720CE34">
      <w:pPr>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附件2—质量保证承诺（参考模板）</w:t>
      </w:r>
    </w:p>
    <w:p w14:paraId="30936168">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我公司对所提供的货物及服务做出如下承诺：</w:t>
      </w:r>
    </w:p>
    <w:p w14:paraId="210C9552">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1、保证设备包装符合防潮、防雨、防锈、防腐及防震要求，标识清晰无误，使物品安全、及时运抵现场。</w:t>
      </w:r>
    </w:p>
    <w:p w14:paraId="7AC929A7">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2、优质、快捷的技术服务</w:t>
      </w:r>
    </w:p>
    <w:p w14:paraId="124FD4B8">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为更好地保证设备的正常运行，及时解答用户提出的疑问，帮助用户解决问题，公司的售后中心，负责各地的维护和技术咨询等服务。售后中心由专职工程师负责随时为客户免费提供技术咨询服务。</w:t>
      </w:r>
    </w:p>
    <w:p w14:paraId="1BA063CC">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3、定期巡检</w:t>
      </w:r>
    </w:p>
    <w:p w14:paraId="7321517D">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公司组织每年对运行的设备巡检不少于两次。公司巡检工程技术人员为主，有设计人员参与。并听取用户维护人员反映的问题及建议。</w:t>
      </w:r>
    </w:p>
    <w:p w14:paraId="60401415">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4、质保期</w:t>
      </w:r>
    </w:p>
    <w:p w14:paraId="154F4438">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质保期：合同项下所有设备保修期为终验合格后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个月保修期内(除天灾及人为损害外)部件、原件费用、出差费用均由供方承担。</w:t>
      </w:r>
    </w:p>
    <w:p w14:paraId="1CF8E2FA">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5、建立用户档案，完善产品质量</w:t>
      </w:r>
    </w:p>
    <w:p w14:paraId="13284101">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公司售后中心除开展用户技术咨询服务外，还负责受理和收集用户投诉咨询信息，保证用户提出的问题和要求能得到及时处理，并对处理情况进行跟踪和验证。同时建立用户档案记录产品使用情况，为今后产品的质量改进提供依据。我们将不断努力，精益求精，为顾客提供最满意的服务。</w:t>
      </w:r>
    </w:p>
    <w:p w14:paraId="0A526EFA">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1778155C">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74D82829">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2389A083">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71DF7F8E">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262D4CBE">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32E5ED11">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39C46910">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3EFF5405">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6447090C">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14330B45">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05441DDA">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2139E81F">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458AC261">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774FEA43">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4FDB032D">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2015B27C">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7B6D106A">
      <w:pPr>
        <w:pStyle w:val="9"/>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p w14:paraId="1D24F089">
      <w:pP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附件3—售后服务方案（参考模板）</w:t>
      </w:r>
    </w:p>
    <w:p w14:paraId="2D2C88FE">
      <w:pPr>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bookmarkStart w:id="0" w:name="_Toc6840912"/>
      <w:bookmarkStart w:id="1" w:name="_Toc4751267"/>
      <w:bookmarkStart w:id="2" w:name="_Toc5819"/>
      <w:bookmarkStart w:id="3" w:name="_Toc13928"/>
      <w:bookmarkStart w:id="4" w:name="_Toc12169"/>
      <w:bookmarkStart w:id="5" w:name="_Toc3972"/>
      <w:bookmarkStart w:id="6" w:name="_Toc24535"/>
      <w:bookmarkStart w:id="7" w:name="_Toc5281084"/>
      <w:r>
        <w:rPr>
          <w:rFonts w:hint="eastAsia" w:ascii="仿宋" w:hAnsi="仿宋" w:eastAsia="仿宋" w:cs="仿宋"/>
          <w:b/>
          <w:bCs/>
          <w:color w:val="000000" w:themeColor="text1"/>
          <w:sz w:val="21"/>
          <w:szCs w:val="21"/>
          <w:highlight w:val="none"/>
          <w14:textFill>
            <w14:solidFill>
              <w14:schemeClr w14:val="tx1"/>
            </w14:solidFill>
          </w14:textFill>
        </w:rPr>
        <w:t>一、产品售后服务承诺及有关说明</w:t>
      </w:r>
      <w:bookmarkEnd w:id="0"/>
      <w:bookmarkEnd w:id="1"/>
      <w:bookmarkEnd w:id="2"/>
      <w:bookmarkEnd w:id="3"/>
      <w:bookmarkEnd w:id="4"/>
      <w:bookmarkEnd w:id="5"/>
      <w:bookmarkEnd w:id="6"/>
      <w:bookmarkEnd w:id="7"/>
    </w:p>
    <w:p w14:paraId="20904E38">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1、对产品售后服务在规定质保期内属本公司制造、安装质量问题，公司负责无偿维修或退换。</w:t>
      </w:r>
    </w:p>
    <w:p w14:paraId="5B157AEE">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2、保修期为终验合格后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个月</w:t>
      </w:r>
    </w:p>
    <w:p w14:paraId="6219EC54">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交付使用后，我公司将对产品进行跟踪服务。商务处专门设立了顾客档案卡和投诉电话，以更好地为顾客提供满意的服务。我公司在每季度派专业维修服务人员到用户方进行回访并协助用户进行产品检修和维修。</w:t>
      </w:r>
    </w:p>
    <w:p w14:paraId="178C33A0">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4、由于顾客使用不当等原因造成的产品损坏，由公司当事销售人员与顾客签订维修合同，根据维修合同，技术维修组负责如期完成维修任务。</w:t>
      </w:r>
    </w:p>
    <w:p w14:paraId="78A5442F">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5、除质保期内的售后服务外，本公司同时负责质保期后的设备维修工作，但其售后服务费用由需方承担。</w:t>
      </w:r>
    </w:p>
    <w:p w14:paraId="7735AEB7">
      <w:pPr>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bookmarkStart w:id="8" w:name="_Toc217571392"/>
      <w:bookmarkStart w:id="9" w:name="_Toc219621656"/>
      <w:bookmarkStart w:id="10" w:name="_Toc415087029"/>
      <w:bookmarkStart w:id="11" w:name="_Toc277248385"/>
      <w:bookmarkStart w:id="12" w:name="_Toc15269"/>
      <w:bookmarkStart w:id="13" w:name="_Toc4747813"/>
      <w:bookmarkStart w:id="14" w:name="_Toc357397591"/>
      <w:bookmarkStart w:id="15" w:name="_Toc366082471"/>
      <w:bookmarkStart w:id="16" w:name="_Toc22073"/>
      <w:bookmarkStart w:id="17" w:name="_Toc444423909"/>
      <w:bookmarkStart w:id="18" w:name="_Toc370999357"/>
      <w:bookmarkStart w:id="19" w:name="_Toc6322"/>
      <w:bookmarkStart w:id="20" w:name="_Toc6840913"/>
      <w:bookmarkStart w:id="21" w:name="_Toc245883665"/>
      <w:bookmarkStart w:id="22" w:name="_Toc22846"/>
      <w:bookmarkStart w:id="23" w:name="_Toc4751268"/>
      <w:bookmarkStart w:id="24" w:name="_Toc387660032"/>
      <w:bookmarkStart w:id="25" w:name="_Toc6940"/>
      <w:r>
        <w:rPr>
          <w:rFonts w:hint="eastAsia" w:ascii="仿宋" w:hAnsi="仿宋" w:eastAsia="仿宋" w:cs="仿宋"/>
          <w:b/>
          <w:bCs/>
          <w:color w:val="000000" w:themeColor="text1"/>
          <w:sz w:val="21"/>
          <w:szCs w:val="21"/>
          <w:highlight w:val="none"/>
          <w14:textFill>
            <w14:solidFill>
              <w14:schemeClr w14:val="tx1"/>
            </w14:solidFill>
          </w14:textFill>
        </w:rPr>
        <w:t>二、现场技术服务</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17C9532">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投标设备最终验收前，我公司向招标人提供下列现场技术服务：</w:t>
      </w:r>
    </w:p>
    <w:p w14:paraId="03747C9B">
      <w:pPr>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bookmarkStart w:id="26" w:name="_Toc217571393"/>
      <w:bookmarkStart w:id="27" w:name="_Toc219621657"/>
      <w:bookmarkStart w:id="28" w:name="_Toc243980082"/>
      <w:r>
        <w:rPr>
          <w:rFonts w:hint="eastAsia" w:ascii="仿宋" w:hAnsi="仿宋" w:eastAsia="仿宋" w:cs="仿宋"/>
          <w:b/>
          <w:bCs/>
          <w:color w:val="000000" w:themeColor="text1"/>
          <w:sz w:val="21"/>
          <w:szCs w:val="21"/>
          <w:highlight w:val="none"/>
          <w14:textFill>
            <w14:solidFill>
              <w14:schemeClr w14:val="tx1"/>
            </w14:solidFill>
          </w14:textFill>
        </w:rPr>
        <w:t>安装督导</w:t>
      </w:r>
      <w:bookmarkEnd w:id="26"/>
      <w:bookmarkEnd w:id="27"/>
      <w:bookmarkEnd w:id="28"/>
    </w:p>
    <w:p w14:paraId="26DCE6D4">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bookmarkStart w:id="29" w:name="_Toc219621658"/>
      <w:r>
        <w:rPr>
          <w:rFonts w:hint="eastAsia" w:ascii="仿宋" w:hAnsi="仿宋" w:eastAsia="仿宋" w:cs="仿宋"/>
          <w:color w:val="000000" w:themeColor="text1"/>
          <w:sz w:val="21"/>
          <w:szCs w:val="21"/>
          <w:highlight w:val="none"/>
          <w14:textFill>
            <w14:solidFill>
              <w14:schemeClr w14:val="tx1"/>
            </w14:solidFill>
          </w14:textFill>
        </w:rPr>
        <w:t>设备安装的准备工作</w:t>
      </w:r>
      <w:bookmarkEnd w:id="29"/>
    </w:p>
    <w:p w14:paraId="0390266A">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我公司负责提供相应的设备安装文件。我公司负责设备的安装督导，安装前应保证人员到位，并具备督导必须的条件。</w:t>
      </w:r>
    </w:p>
    <w:p w14:paraId="4C1E6A5A">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bookmarkStart w:id="30" w:name="_Toc219621659"/>
      <w:r>
        <w:rPr>
          <w:rFonts w:hint="eastAsia" w:ascii="仿宋" w:hAnsi="仿宋" w:eastAsia="仿宋" w:cs="仿宋"/>
          <w:color w:val="000000" w:themeColor="text1"/>
          <w:sz w:val="21"/>
          <w:szCs w:val="21"/>
          <w:highlight w:val="none"/>
          <w14:textFill>
            <w14:solidFill>
              <w14:schemeClr w14:val="tx1"/>
            </w14:solidFill>
          </w14:textFill>
        </w:rPr>
        <w:t>安装和开通期间</w:t>
      </w:r>
      <w:bookmarkEnd w:id="30"/>
    </w:p>
    <w:p w14:paraId="45E2E13A">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我公司会按照已获招标人确认的工程所有工作的实施方法和措施，在合同规定的竣工日期前完成工程的施工安装督导、调试和验收。</w:t>
      </w:r>
    </w:p>
    <w:p w14:paraId="2BE74271">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我公司派遣足够的、具有适当资质和经验的人员到现场完成施工安装督导、调试和验收的工作。</w:t>
      </w:r>
    </w:p>
    <w:p w14:paraId="61ECB0C1">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在安装、调试和验收期间，我公司建立每日现场记录制度，并每周向招标人递交报告，报告包含工作内容、工程进度、事故、存在的不利因素、可能的延误及补救方法的建议等内容。对紧急情况，我公司一定随时向招标人通报。</w:t>
      </w:r>
    </w:p>
    <w:p w14:paraId="5045D5CC">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bookmarkStart w:id="31" w:name="_Toc219621660"/>
      <w:r>
        <w:rPr>
          <w:rFonts w:hint="eastAsia" w:ascii="仿宋" w:hAnsi="仿宋" w:eastAsia="仿宋" w:cs="仿宋"/>
          <w:color w:val="000000" w:themeColor="text1"/>
          <w:sz w:val="21"/>
          <w:szCs w:val="21"/>
          <w:highlight w:val="none"/>
          <w14:textFill>
            <w14:solidFill>
              <w14:schemeClr w14:val="tx1"/>
            </w14:solidFill>
          </w14:textFill>
        </w:rPr>
        <w:t>人员</w:t>
      </w:r>
      <w:bookmarkEnd w:id="31"/>
    </w:p>
    <w:p w14:paraId="2227CC5A">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执行安装督导的项目经理具有项目管理经验，具有较强的沟通协调与现场工程管理能力，确保工程实施的进度与质量。</w:t>
      </w:r>
    </w:p>
    <w:p w14:paraId="6BD758FB">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执行安装督导技术人员是受过我公司专业培训的工程师，负责项目建设中所分派的由其执行的安装、指导和测试工作，并且和招标人一起参与开通程序，并根据进度表，达到工程要求和质量标准。</w:t>
      </w:r>
    </w:p>
    <w:p w14:paraId="3F7D8F8B">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bookmarkStart w:id="32" w:name="_Toc219621661"/>
      <w:r>
        <w:rPr>
          <w:rFonts w:hint="eastAsia" w:ascii="仿宋" w:hAnsi="仿宋" w:eastAsia="仿宋" w:cs="仿宋"/>
          <w:color w:val="000000" w:themeColor="text1"/>
          <w:sz w:val="21"/>
          <w:szCs w:val="21"/>
          <w:highlight w:val="none"/>
          <w14:textFill>
            <w14:solidFill>
              <w14:schemeClr w14:val="tx1"/>
            </w14:solidFill>
          </w14:textFill>
        </w:rPr>
        <w:t>施工安装督导工作描述</w:t>
      </w:r>
      <w:bookmarkEnd w:id="32"/>
    </w:p>
    <w:p w14:paraId="4EF892CC">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（1）根据进度表确保所提供系统的安装工作并保证达到质量标准，遵守相关的安装指导原则及经济原则，并对现场的安装人员进行安全指导；</w:t>
      </w:r>
    </w:p>
    <w:p w14:paraId="31248B01">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（2）根据工程进度完成测试和开通工作，达到工程和质量要求；</w:t>
      </w:r>
    </w:p>
    <w:p w14:paraId="61F5789B">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（3）协调与内部的特定部门，外部的公司，业主或业主委托的公司的关系；</w:t>
      </w:r>
    </w:p>
    <w:p w14:paraId="2120CAF2">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（4）指出工程的障碍；</w:t>
      </w:r>
    </w:p>
    <w:p w14:paraId="02166A54">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（5）与招标人共同参与有关问题的会议/讨论，澄清；</w:t>
      </w:r>
    </w:p>
    <w:p w14:paraId="30F9C5C6">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（6）根据时间进度表，协调安装工作；</w:t>
      </w:r>
    </w:p>
    <w:p w14:paraId="79250BAE">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（7）参与技术问题的澄清；</w:t>
      </w:r>
    </w:p>
    <w:p w14:paraId="1D3DFF62">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（8）负责相关的测试和验收工作；</w:t>
      </w:r>
    </w:p>
    <w:p w14:paraId="6E7B1F1A">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（9）工作文件的保存；</w:t>
      </w:r>
    </w:p>
    <w:p w14:paraId="046513BF">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（10）遵守法律规章和内部指导原则；</w:t>
      </w:r>
    </w:p>
    <w:p w14:paraId="34B33E0F">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（11）工程现场设备安装指导、安装检查；</w:t>
      </w:r>
    </w:p>
    <w:p w14:paraId="5B609DB7">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（12）设备单机加电调试</w:t>
      </w:r>
    </w:p>
    <w:p w14:paraId="248F4E46">
      <w:pPr>
        <w:kinsoku/>
        <w:wordWrap/>
        <w:overflowPunct/>
        <w:topLinePunct w:val="0"/>
        <w:bidi w:val="0"/>
        <w:spacing w:line="300" w:lineRule="auto"/>
        <w:ind w:firstLine="422" w:firstLineChars="200"/>
        <w:rPr>
          <w:rFonts w:hint="eastAsia" w:ascii="仿宋" w:hAnsi="仿宋" w:eastAsia="仿宋" w:cs="仿宋"/>
          <w:b/>
          <w:bCs/>
          <w:color w:val="000000" w:themeColor="text1"/>
          <w:sz w:val="21"/>
          <w:szCs w:val="21"/>
          <w:highlight w:val="none"/>
          <w14:textFill>
            <w14:solidFill>
              <w14:schemeClr w14:val="tx1"/>
            </w14:solidFill>
          </w14:textFill>
        </w:rPr>
      </w:pPr>
      <w:bookmarkStart w:id="33" w:name="_Toc243980083"/>
      <w:bookmarkStart w:id="34" w:name="_Toc219621663"/>
      <w:bookmarkStart w:id="35" w:name="_Toc217571394"/>
      <w:r>
        <w:rPr>
          <w:rFonts w:hint="eastAsia" w:ascii="仿宋" w:hAnsi="仿宋" w:eastAsia="仿宋" w:cs="仿宋"/>
          <w:b/>
          <w:bCs/>
          <w:color w:val="000000" w:themeColor="text1"/>
          <w:sz w:val="21"/>
          <w:szCs w:val="21"/>
          <w:highlight w:val="none"/>
          <w14:textFill>
            <w14:solidFill>
              <w14:schemeClr w14:val="tx1"/>
            </w14:solidFill>
          </w14:textFill>
        </w:rPr>
        <w:t>系统调试</w:t>
      </w:r>
      <w:bookmarkEnd w:id="33"/>
      <w:bookmarkEnd w:id="34"/>
      <w:bookmarkEnd w:id="35"/>
    </w:p>
    <w:p w14:paraId="28BA9046">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我公司向招标人提出所供系统调试开通方案、调试仪表和工具清单，经招标人进行确认后实施，配合招标人的自验收工作，并对执行系统验收测试提供技术支持。</w:t>
      </w:r>
    </w:p>
    <w:p w14:paraId="183D93CA">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我公司所供系统调试开通并经招标人确认后，我公司向招标人提供所共系统调试开通文件,包括：</w:t>
      </w:r>
    </w:p>
    <w:p w14:paraId="0D5B755E">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（1）供货设备清单；</w:t>
      </w:r>
    </w:p>
    <w:p w14:paraId="08B2477B">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（2）设备缺陷处理记录；</w:t>
      </w:r>
    </w:p>
    <w:p w14:paraId="3A6CF33B">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（3）系统的测试记录及分析报告；</w:t>
      </w:r>
    </w:p>
    <w:p w14:paraId="00BBE518">
      <w:pPr>
        <w:kinsoku/>
        <w:wordWrap/>
        <w:overflowPunct/>
        <w:topLinePunct w:val="0"/>
        <w:bidi w:val="0"/>
        <w:spacing w:line="300" w:lineRule="auto"/>
        <w:ind w:firstLine="422" w:firstLineChars="200"/>
        <w:rPr>
          <w:rFonts w:hint="eastAsia" w:ascii="仿宋" w:hAnsi="仿宋" w:eastAsia="仿宋" w:cs="仿宋"/>
          <w:b/>
          <w:bCs/>
          <w:color w:val="000000" w:themeColor="text1"/>
          <w:sz w:val="21"/>
          <w:szCs w:val="21"/>
          <w:highlight w:val="none"/>
          <w14:textFill>
            <w14:solidFill>
              <w14:schemeClr w14:val="tx1"/>
            </w14:solidFill>
          </w14:textFill>
        </w:rPr>
      </w:pPr>
      <w:bookmarkStart w:id="36" w:name="_Toc217571395"/>
      <w:bookmarkStart w:id="37" w:name="_Toc243980084"/>
      <w:bookmarkStart w:id="38" w:name="_Toc219621667"/>
      <w:r>
        <w:rPr>
          <w:rFonts w:hint="eastAsia" w:ascii="仿宋" w:hAnsi="仿宋" w:eastAsia="仿宋" w:cs="仿宋"/>
          <w:b/>
          <w:bCs/>
          <w:color w:val="000000" w:themeColor="text1"/>
          <w:sz w:val="21"/>
          <w:szCs w:val="21"/>
          <w:highlight w:val="none"/>
          <w14:textFill>
            <w14:solidFill>
              <w14:schemeClr w14:val="tx1"/>
            </w14:solidFill>
          </w14:textFill>
        </w:rPr>
        <w:t>故障处理</w:t>
      </w:r>
      <w:bookmarkEnd w:id="36"/>
      <w:bookmarkEnd w:id="37"/>
      <w:bookmarkEnd w:id="38"/>
    </w:p>
    <w:p w14:paraId="43508836">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在设备最终验收前，我公司免费提供任何由于系统设计、设备制造、安装等缺陷引起的更换设备及所需工具。</w:t>
      </w:r>
    </w:p>
    <w:p w14:paraId="038645D5">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在设备最终验收前，我公司在招标人发出设备故障通知后到达设备安装现场并处理好故障设备，我公司在招标人发出设备故障通知后2日内向招标人提供故障设备测试报告、设备故障分析报告及设备整改方案，整改方案经招标人批准后实施。</w:t>
      </w:r>
    </w:p>
    <w:p w14:paraId="51319C86">
      <w:pPr>
        <w:kinsoku/>
        <w:wordWrap/>
        <w:overflowPunct/>
        <w:topLinePunct w:val="0"/>
        <w:bidi w:val="0"/>
        <w:spacing w:line="300" w:lineRule="auto"/>
        <w:ind w:firstLine="422" w:firstLineChars="200"/>
        <w:rPr>
          <w:rFonts w:hint="eastAsia" w:ascii="仿宋" w:hAnsi="仿宋" w:eastAsia="仿宋" w:cs="仿宋"/>
          <w:b/>
          <w:bCs/>
          <w:color w:val="000000" w:themeColor="text1"/>
          <w:sz w:val="21"/>
          <w:szCs w:val="21"/>
          <w:highlight w:val="none"/>
          <w14:textFill>
            <w14:solidFill>
              <w14:schemeClr w14:val="tx1"/>
            </w14:solidFill>
          </w14:textFill>
        </w:rPr>
      </w:pPr>
      <w:bookmarkStart w:id="39" w:name="_Toc217571396"/>
      <w:bookmarkStart w:id="40" w:name="_Toc219621668"/>
      <w:bookmarkStart w:id="41" w:name="_Toc243980085"/>
      <w:bookmarkStart w:id="42" w:name="_Toc180248773"/>
      <w:r>
        <w:rPr>
          <w:rFonts w:hint="eastAsia" w:ascii="仿宋" w:hAnsi="仿宋" w:eastAsia="仿宋" w:cs="仿宋"/>
          <w:b/>
          <w:bCs/>
          <w:color w:val="000000" w:themeColor="text1"/>
          <w:sz w:val="21"/>
          <w:szCs w:val="21"/>
          <w:highlight w:val="none"/>
          <w14:textFill>
            <w14:solidFill>
              <w14:schemeClr w14:val="tx1"/>
            </w14:solidFill>
          </w14:textFill>
        </w:rPr>
        <w:t>现场巡检服务</w:t>
      </w:r>
      <w:bookmarkEnd w:id="39"/>
      <w:bookmarkEnd w:id="40"/>
      <w:bookmarkEnd w:id="41"/>
      <w:bookmarkEnd w:id="42"/>
    </w:p>
    <w:p w14:paraId="774E9798">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我公司针对设备运行情况进行定期或不定期的巡回检查（包括电话回访与现场回访），了解招标人设备的运行情况，及时处理存在的问题，并进行有关技术指导。</w:t>
      </w:r>
    </w:p>
    <w:p w14:paraId="1D1A9709">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现场巡检服务包括我公司设备系统检查、一般检查、遗留问题处理等三项内容。产品在售销并在现场开通运行后的一星期内，我公司售后服务部将致电招标人，了解招标人对产品的使用情况，及时掌握招标人对我公司工程人员的工作是否满意，并记录在案。</w:t>
      </w:r>
    </w:p>
    <w:p w14:paraId="2020EEA4">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产品在招标人现场使用3个月后将再次进行电话回访，了解设备的使用状况，同时售后服务人员将重新说明设备的特点，及相关注意事项。</w:t>
      </w:r>
    </w:p>
    <w:p w14:paraId="2A6FD02A">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每年定期进行招标人现场回访。彻底检查设备关键部位，及时发现设备运行隐患，为招标人免费升级软件，并将新功能告知招标人。</w:t>
      </w:r>
    </w:p>
    <w:p w14:paraId="1E9192C8">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我公司为招标人对系统的巡检提供7*24小时专家电话支持。</w:t>
      </w:r>
    </w:p>
    <w:p w14:paraId="51B8CCFC">
      <w:pPr>
        <w:kinsoku/>
        <w:wordWrap/>
        <w:overflowPunct/>
        <w:topLinePunct w:val="0"/>
        <w:bidi w:val="0"/>
        <w:spacing w:line="300" w:lineRule="auto"/>
        <w:ind w:firstLine="422" w:firstLineChars="200"/>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资料服务</w:t>
      </w:r>
    </w:p>
    <w:p w14:paraId="399CC094">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用户可以通过设备厂商的技术支持网站或者通过发放的纸面文档、电子邮件、磁盘、光盘等形式，获得我方的有关产品知识、设备运行、维护经验和技巧等方面的资料。资料服务包括以下服务内容：网上资料服务和资料索取服务等。</w:t>
      </w:r>
    </w:p>
    <w:p w14:paraId="4D94D039">
      <w:pPr>
        <w:kinsoku/>
        <w:wordWrap/>
        <w:overflowPunct/>
        <w:topLinePunct w:val="0"/>
        <w:bidi w:val="0"/>
        <w:spacing w:line="300" w:lineRule="auto"/>
        <w:ind w:firstLine="422" w:firstLineChars="200"/>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故障件维修服务</w:t>
      </w:r>
    </w:p>
    <w:p w14:paraId="6104E81B">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我方对用户在使用过程中出现的故障板件进行修复以保证设备持续可用的服务。</w:t>
      </w:r>
    </w:p>
    <w:p w14:paraId="14494601">
      <w:pPr>
        <w:kinsoku/>
        <w:wordWrap/>
        <w:overflowPunct/>
        <w:topLinePunct w:val="0"/>
        <w:bidi w:val="0"/>
        <w:spacing w:line="300" w:lineRule="auto"/>
        <w:ind w:firstLine="422" w:firstLineChars="200"/>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备件同步升级服务</w:t>
      </w:r>
    </w:p>
    <w:p w14:paraId="5A0F40F2">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网络设备升级后，投标方应提供备件的同步升级服务，使备件与在用系统设备相一致。</w:t>
      </w:r>
    </w:p>
    <w:p w14:paraId="163B60AE">
      <w:pPr>
        <w:kinsoku/>
        <w:wordWrap/>
        <w:overflowPunct/>
        <w:topLinePunct w:val="0"/>
        <w:bidi w:val="0"/>
        <w:spacing w:line="300" w:lineRule="auto"/>
        <w:ind w:firstLine="422" w:firstLineChars="200"/>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设备巡检及健康检查服务</w:t>
      </w:r>
    </w:p>
    <w:p w14:paraId="7EF8A1BD">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每年一次对系统设备进行巡检服务，并提出健康检查项目，经用户认可后执行健康检查，检查结束提交健康检查报告。</w:t>
      </w:r>
    </w:p>
    <w:p w14:paraId="2361C826">
      <w:pPr>
        <w:kinsoku/>
        <w:wordWrap/>
        <w:overflowPunct/>
        <w:topLinePunct w:val="0"/>
        <w:bidi w:val="0"/>
        <w:spacing w:line="300" w:lineRule="auto"/>
        <w:ind w:firstLine="422" w:firstLineChars="200"/>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第三方设备技术支持服务</w:t>
      </w:r>
    </w:p>
    <w:p w14:paraId="79481046">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我方统一受理系统中的第三方设备的技术支持，包括第三方设备的技术咨询、故障处理、备件升级等。</w:t>
      </w:r>
    </w:p>
    <w:p w14:paraId="5CA54FA7">
      <w:pPr>
        <w:kinsoku/>
        <w:wordWrap/>
        <w:overflowPunct/>
        <w:topLinePunct w:val="0"/>
        <w:bidi w:val="0"/>
        <w:spacing w:line="300" w:lineRule="auto"/>
        <w:ind w:firstLine="422" w:firstLineChars="200"/>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质保期内（</w:t>
      </w:r>
      <w:r>
        <w:rPr>
          <w:rFonts w:hint="eastAsia" w:ascii="仿宋" w:hAnsi="仿宋" w:eastAsia="仿宋" w:cs="仿宋"/>
          <w:b/>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个月）技术支持服务</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1490"/>
        <w:gridCol w:w="1961"/>
        <w:gridCol w:w="2804"/>
      </w:tblGrid>
      <w:tr w14:paraId="5540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4CEDAE2E">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一、缺陷通知期</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个月内技术服务</w:t>
            </w:r>
          </w:p>
        </w:tc>
      </w:tr>
      <w:tr w14:paraId="1A45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42D9906">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服务项目内容及服务地点</w:t>
            </w:r>
          </w:p>
        </w:tc>
        <w:tc>
          <w:tcPr>
            <w:tcW w:w="1490" w:type="dxa"/>
            <w:vAlign w:val="center"/>
          </w:tcPr>
          <w:p w14:paraId="34543553">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响应时间</w:t>
            </w:r>
          </w:p>
        </w:tc>
        <w:tc>
          <w:tcPr>
            <w:tcW w:w="1961" w:type="dxa"/>
            <w:vAlign w:val="center"/>
          </w:tcPr>
          <w:p w14:paraId="1D8E8932">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人员数量</w:t>
            </w:r>
          </w:p>
        </w:tc>
        <w:tc>
          <w:tcPr>
            <w:tcW w:w="2804" w:type="dxa"/>
            <w:vAlign w:val="center"/>
          </w:tcPr>
          <w:p w14:paraId="0032070E">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人员资质</w:t>
            </w:r>
          </w:p>
        </w:tc>
      </w:tr>
      <w:tr w14:paraId="5B08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EBEDDB2">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远程-电话支持</w:t>
            </w:r>
          </w:p>
        </w:tc>
        <w:tc>
          <w:tcPr>
            <w:tcW w:w="1490" w:type="dxa"/>
            <w:vAlign w:val="center"/>
          </w:tcPr>
          <w:p w14:paraId="2B4BD794">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1小时内</w:t>
            </w:r>
          </w:p>
        </w:tc>
        <w:tc>
          <w:tcPr>
            <w:tcW w:w="1961" w:type="dxa"/>
            <w:vAlign w:val="center"/>
          </w:tcPr>
          <w:p w14:paraId="179A139F">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p>
        </w:tc>
        <w:tc>
          <w:tcPr>
            <w:tcW w:w="2804" w:type="dxa"/>
            <w:vAlign w:val="center"/>
          </w:tcPr>
          <w:p w14:paraId="0CEF7FD9">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工程师</w:t>
            </w:r>
          </w:p>
        </w:tc>
      </w:tr>
      <w:tr w14:paraId="44CA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D5B5812">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现场-更换故障设备</w:t>
            </w:r>
          </w:p>
        </w:tc>
        <w:tc>
          <w:tcPr>
            <w:tcW w:w="1490" w:type="dxa"/>
            <w:vAlign w:val="center"/>
          </w:tcPr>
          <w:p w14:paraId="644EAA71">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3～6小时</w:t>
            </w:r>
          </w:p>
        </w:tc>
        <w:tc>
          <w:tcPr>
            <w:tcW w:w="1961" w:type="dxa"/>
            <w:vAlign w:val="center"/>
          </w:tcPr>
          <w:p w14:paraId="38ED8D4A">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p>
        </w:tc>
        <w:tc>
          <w:tcPr>
            <w:tcW w:w="2804" w:type="dxa"/>
            <w:vAlign w:val="center"/>
          </w:tcPr>
          <w:p w14:paraId="0C521A5D">
            <w:pPr>
              <w:kinsoku/>
              <w:wordWrap/>
              <w:overflowPunct/>
              <w:topLinePunct w:val="0"/>
              <w:bidi w:val="0"/>
              <w:spacing w:line="300" w:lineRule="auto"/>
              <w:jc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工程师</w:t>
            </w:r>
          </w:p>
        </w:tc>
      </w:tr>
      <w:tr w14:paraId="2B3E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AC9188B">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现场-判断并处理故障</w:t>
            </w:r>
          </w:p>
        </w:tc>
        <w:tc>
          <w:tcPr>
            <w:tcW w:w="1490" w:type="dxa"/>
            <w:vAlign w:val="center"/>
          </w:tcPr>
          <w:p w14:paraId="2FBF5AA6">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3～12小时</w:t>
            </w:r>
          </w:p>
        </w:tc>
        <w:tc>
          <w:tcPr>
            <w:tcW w:w="1961" w:type="dxa"/>
            <w:vAlign w:val="center"/>
          </w:tcPr>
          <w:p w14:paraId="5B055716">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p>
        </w:tc>
        <w:tc>
          <w:tcPr>
            <w:tcW w:w="2804" w:type="dxa"/>
            <w:vAlign w:val="center"/>
          </w:tcPr>
          <w:p w14:paraId="76EADD73">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工程师</w:t>
            </w:r>
          </w:p>
        </w:tc>
      </w:tr>
      <w:tr w14:paraId="66D81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19803759">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二、与维护单位间详细的工作界面及责任划分</w:t>
            </w:r>
          </w:p>
        </w:tc>
      </w:tr>
      <w:tr w14:paraId="78C6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9185" w:type="dxa"/>
            <w:gridSpan w:val="4"/>
            <w:vAlign w:val="center"/>
          </w:tcPr>
          <w:p w14:paraId="0AB2CE8D">
            <w:pPr>
              <w:pStyle w:val="10"/>
              <w:widowControl w:val="0"/>
              <w:kinsoku/>
              <w:wordWrap/>
              <w:overflowPunct/>
              <w:topLinePunct w:val="0"/>
              <w:bidi w:val="0"/>
              <w:adjustRightInd w:val="0"/>
              <w:snapToGrid w:val="0"/>
              <w:spacing w:before="0" w:after="0" w:line="300" w:lineRule="auto"/>
              <w:ind w:firstLine="0" w:firstLineChars="0"/>
              <w:jc w:val="both"/>
              <w:rPr>
                <w:rFonts w:hint="eastAsia" w:ascii="仿宋" w:hAnsi="仿宋" w:eastAsia="仿宋" w:cs="仿宋"/>
                <w:color w:val="000000" w:themeColor="text1"/>
                <w:spacing w:val="0"/>
                <w:w w:val="100"/>
                <w:sz w:val="21"/>
                <w:szCs w:val="21"/>
                <w:highlight w:val="none"/>
                <w14:textFill>
                  <w14:solidFill>
                    <w14:schemeClr w14:val="tx1"/>
                  </w14:solidFill>
                </w14:textFill>
              </w:rPr>
            </w:pPr>
            <w:r>
              <w:rPr>
                <w:rFonts w:hint="eastAsia" w:ascii="仿宋" w:hAnsi="仿宋" w:eastAsia="仿宋" w:cs="仿宋"/>
                <w:color w:val="000000" w:themeColor="text1"/>
                <w:spacing w:val="0"/>
                <w:w w:val="100"/>
                <w:sz w:val="21"/>
                <w:szCs w:val="21"/>
                <w:highlight w:val="none"/>
                <w14:textFill>
                  <w14:solidFill>
                    <w14:schemeClr w14:val="tx1"/>
                  </w14:solidFill>
                </w14:textFill>
              </w:rPr>
              <w:t>（1）远程支持服务</w:t>
            </w:r>
          </w:p>
          <w:p w14:paraId="08AABC76">
            <w:pPr>
              <w:pStyle w:val="10"/>
              <w:widowControl w:val="0"/>
              <w:kinsoku/>
              <w:wordWrap/>
              <w:overflowPunct/>
              <w:topLinePunct w:val="0"/>
              <w:bidi w:val="0"/>
              <w:adjustRightInd w:val="0"/>
              <w:snapToGrid w:val="0"/>
              <w:spacing w:before="0" w:after="0" w:line="300" w:lineRule="auto"/>
              <w:ind w:firstLine="0" w:firstLineChars="0"/>
              <w:jc w:val="both"/>
              <w:rPr>
                <w:rFonts w:hint="eastAsia" w:ascii="仿宋" w:hAnsi="仿宋" w:eastAsia="仿宋" w:cs="仿宋"/>
                <w:color w:val="000000" w:themeColor="text1"/>
                <w:spacing w:val="0"/>
                <w:w w:val="100"/>
                <w:sz w:val="21"/>
                <w:szCs w:val="21"/>
                <w:highlight w:val="none"/>
                <w14:textFill>
                  <w14:solidFill>
                    <w14:schemeClr w14:val="tx1"/>
                  </w14:solidFill>
                </w14:textFill>
              </w:rPr>
            </w:pPr>
            <w:r>
              <w:rPr>
                <w:rFonts w:hint="eastAsia" w:ascii="仿宋" w:hAnsi="仿宋" w:eastAsia="仿宋" w:cs="仿宋"/>
                <w:color w:val="000000" w:themeColor="text1"/>
                <w:spacing w:val="0"/>
                <w:w w:val="100"/>
                <w:sz w:val="21"/>
                <w:szCs w:val="21"/>
                <w:highlight w:val="none"/>
                <w14:textFill>
                  <w14:solidFill>
                    <w14:schemeClr w14:val="tx1"/>
                  </w14:solidFill>
                </w14:textFill>
              </w:rPr>
              <w:t>远程支持服务是指向用户提供关于设备设备日常操作维护的咨询和非紧急情况下的故障处理。服务热线提供7×24小时服务。远程支持服务内容为：</w:t>
            </w:r>
          </w:p>
          <w:p w14:paraId="190CA80D">
            <w:pPr>
              <w:pStyle w:val="10"/>
              <w:widowControl w:val="0"/>
              <w:kinsoku/>
              <w:wordWrap/>
              <w:overflowPunct/>
              <w:topLinePunct w:val="0"/>
              <w:bidi w:val="0"/>
              <w:adjustRightInd w:val="0"/>
              <w:snapToGrid w:val="0"/>
              <w:spacing w:before="0" w:after="0" w:line="300" w:lineRule="auto"/>
              <w:ind w:firstLine="0" w:firstLineChars="0"/>
              <w:jc w:val="both"/>
              <w:rPr>
                <w:rFonts w:hint="eastAsia" w:ascii="仿宋" w:hAnsi="仿宋" w:eastAsia="仿宋" w:cs="仿宋"/>
                <w:color w:val="000000" w:themeColor="text1"/>
                <w:spacing w:val="0"/>
                <w:w w:val="100"/>
                <w:sz w:val="21"/>
                <w:szCs w:val="21"/>
                <w:highlight w:val="none"/>
                <w14:textFill>
                  <w14:solidFill>
                    <w14:schemeClr w14:val="tx1"/>
                  </w14:solidFill>
                </w14:textFill>
              </w:rPr>
            </w:pPr>
            <w:r>
              <w:rPr>
                <w:rFonts w:hint="eastAsia" w:ascii="仿宋" w:hAnsi="仿宋" w:eastAsia="仿宋" w:cs="仿宋"/>
                <w:color w:val="000000" w:themeColor="text1"/>
                <w:spacing w:val="0"/>
                <w:w w:val="100"/>
                <w:sz w:val="21"/>
                <w:szCs w:val="21"/>
                <w:highlight w:val="none"/>
                <w14:textFill>
                  <w14:solidFill>
                    <w14:schemeClr w14:val="tx1"/>
                  </w14:solidFill>
                </w14:textFill>
              </w:rPr>
              <w:t>一般系统咨询；</w:t>
            </w:r>
          </w:p>
          <w:p w14:paraId="1597C282">
            <w:pPr>
              <w:pStyle w:val="10"/>
              <w:widowControl w:val="0"/>
              <w:kinsoku/>
              <w:wordWrap/>
              <w:overflowPunct/>
              <w:topLinePunct w:val="0"/>
              <w:bidi w:val="0"/>
              <w:adjustRightInd w:val="0"/>
              <w:snapToGrid w:val="0"/>
              <w:spacing w:before="0" w:after="0" w:line="300" w:lineRule="auto"/>
              <w:ind w:firstLine="0" w:firstLineChars="0"/>
              <w:jc w:val="both"/>
              <w:rPr>
                <w:rFonts w:hint="eastAsia" w:ascii="仿宋" w:hAnsi="仿宋" w:eastAsia="仿宋" w:cs="仿宋"/>
                <w:color w:val="000000" w:themeColor="text1"/>
                <w:spacing w:val="0"/>
                <w:w w:val="100"/>
                <w:sz w:val="21"/>
                <w:szCs w:val="21"/>
                <w:highlight w:val="none"/>
                <w14:textFill>
                  <w14:solidFill>
                    <w14:schemeClr w14:val="tx1"/>
                  </w14:solidFill>
                </w14:textFill>
              </w:rPr>
            </w:pPr>
            <w:r>
              <w:rPr>
                <w:rFonts w:hint="eastAsia" w:ascii="仿宋" w:hAnsi="仿宋" w:eastAsia="仿宋" w:cs="仿宋"/>
                <w:color w:val="000000" w:themeColor="text1"/>
                <w:spacing w:val="0"/>
                <w:w w:val="100"/>
                <w:sz w:val="21"/>
                <w:szCs w:val="21"/>
                <w:highlight w:val="none"/>
                <w14:textFill>
                  <w14:solidFill>
                    <w14:schemeClr w14:val="tx1"/>
                  </w14:solidFill>
                </w14:textFill>
              </w:rPr>
              <w:t>产品咨询；</w:t>
            </w:r>
          </w:p>
          <w:p w14:paraId="7A0DA926">
            <w:pPr>
              <w:pStyle w:val="10"/>
              <w:widowControl w:val="0"/>
              <w:kinsoku/>
              <w:wordWrap/>
              <w:overflowPunct/>
              <w:topLinePunct w:val="0"/>
              <w:bidi w:val="0"/>
              <w:adjustRightInd w:val="0"/>
              <w:snapToGrid w:val="0"/>
              <w:spacing w:before="0" w:after="0" w:line="300" w:lineRule="auto"/>
              <w:ind w:firstLine="0" w:firstLineChars="0"/>
              <w:jc w:val="both"/>
              <w:rPr>
                <w:rFonts w:hint="eastAsia" w:ascii="仿宋" w:hAnsi="仿宋" w:eastAsia="仿宋" w:cs="仿宋"/>
                <w:color w:val="000000" w:themeColor="text1"/>
                <w:spacing w:val="0"/>
                <w:w w:val="100"/>
                <w:sz w:val="21"/>
                <w:szCs w:val="21"/>
                <w:highlight w:val="none"/>
                <w14:textFill>
                  <w14:solidFill>
                    <w14:schemeClr w14:val="tx1"/>
                  </w14:solidFill>
                </w14:textFill>
              </w:rPr>
            </w:pPr>
            <w:r>
              <w:rPr>
                <w:rFonts w:hint="eastAsia" w:ascii="仿宋" w:hAnsi="仿宋" w:eastAsia="仿宋" w:cs="仿宋"/>
                <w:color w:val="000000" w:themeColor="text1"/>
                <w:spacing w:val="0"/>
                <w:w w:val="100"/>
                <w:sz w:val="21"/>
                <w:szCs w:val="21"/>
                <w:highlight w:val="none"/>
                <w14:textFill>
                  <w14:solidFill>
                    <w14:schemeClr w14:val="tx1"/>
                  </w14:solidFill>
                </w14:textFill>
              </w:rPr>
              <w:t>硬件咨询；</w:t>
            </w:r>
          </w:p>
          <w:p w14:paraId="791F1249">
            <w:pPr>
              <w:pStyle w:val="10"/>
              <w:widowControl w:val="0"/>
              <w:kinsoku/>
              <w:wordWrap/>
              <w:overflowPunct/>
              <w:topLinePunct w:val="0"/>
              <w:bidi w:val="0"/>
              <w:adjustRightInd w:val="0"/>
              <w:snapToGrid w:val="0"/>
              <w:spacing w:before="0" w:after="0" w:line="300" w:lineRule="auto"/>
              <w:ind w:firstLine="0" w:firstLineChars="0"/>
              <w:jc w:val="both"/>
              <w:rPr>
                <w:rFonts w:hint="eastAsia" w:ascii="仿宋" w:hAnsi="仿宋" w:eastAsia="仿宋" w:cs="仿宋"/>
                <w:color w:val="000000" w:themeColor="text1"/>
                <w:spacing w:val="0"/>
                <w:w w:val="100"/>
                <w:sz w:val="21"/>
                <w:szCs w:val="21"/>
                <w:highlight w:val="none"/>
                <w14:textFill>
                  <w14:solidFill>
                    <w14:schemeClr w14:val="tx1"/>
                  </w14:solidFill>
                </w14:textFill>
              </w:rPr>
            </w:pPr>
            <w:r>
              <w:rPr>
                <w:rFonts w:hint="eastAsia" w:ascii="仿宋" w:hAnsi="仿宋" w:eastAsia="仿宋" w:cs="仿宋"/>
                <w:color w:val="000000" w:themeColor="text1"/>
                <w:spacing w:val="0"/>
                <w:w w:val="100"/>
                <w:sz w:val="21"/>
                <w:szCs w:val="21"/>
                <w:highlight w:val="none"/>
                <w14:textFill>
                  <w14:solidFill>
                    <w14:schemeClr w14:val="tx1"/>
                  </w14:solidFill>
                </w14:textFill>
              </w:rPr>
              <w:t>软件咨询；</w:t>
            </w:r>
          </w:p>
          <w:p w14:paraId="380D618C">
            <w:pPr>
              <w:pStyle w:val="10"/>
              <w:widowControl w:val="0"/>
              <w:kinsoku/>
              <w:wordWrap/>
              <w:overflowPunct/>
              <w:topLinePunct w:val="0"/>
              <w:bidi w:val="0"/>
              <w:adjustRightInd w:val="0"/>
              <w:snapToGrid w:val="0"/>
              <w:spacing w:before="0" w:after="0" w:line="300" w:lineRule="auto"/>
              <w:ind w:firstLine="0" w:firstLineChars="0"/>
              <w:jc w:val="both"/>
              <w:rPr>
                <w:rFonts w:hint="eastAsia" w:ascii="仿宋" w:hAnsi="仿宋" w:eastAsia="仿宋" w:cs="仿宋"/>
                <w:color w:val="000000" w:themeColor="text1"/>
                <w:spacing w:val="0"/>
                <w:w w:val="100"/>
                <w:sz w:val="21"/>
                <w:szCs w:val="21"/>
                <w:highlight w:val="none"/>
                <w14:textFill>
                  <w14:solidFill>
                    <w14:schemeClr w14:val="tx1"/>
                  </w14:solidFill>
                </w14:textFill>
              </w:rPr>
            </w:pPr>
            <w:r>
              <w:rPr>
                <w:rFonts w:hint="eastAsia" w:ascii="仿宋" w:hAnsi="仿宋" w:eastAsia="仿宋" w:cs="仿宋"/>
                <w:color w:val="000000" w:themeColor="text1"/>
                <w:spacing w:val="0"/>
                <w:w w:val="100"/>
                <w:sz w:val="21"/>
                <w:szCs w:val="21"/>
                <w:highlight w:val="none"/>
                <w14:textFill>
                  <w14:solidFill>
                    <w14:schemeClr w14:val="tx1"/>
                  </w14:solidFill>
                </w14:textFill>
              </w:rPr>
              <w:t>数据咨询；</w:t>
            </w:r>
          </w:p>
          <w:p w14:paraId="74640868">
            <w:pPr>
              <w:pStyle w:val="10"/>
              <w:widowControl w:val="0"/>
              <w:kinsoku/>
              <w:wordWrap/>
              <w:overflowPunct/>
              <w:topLinePunct w:val="0"/>
              <w:bidi w:val="0"/>
              <w:adjustRightInd w:val="0"/>
              <w:snapToGrid w:val="0"/>
              <w:spacing w:before="0" w:after="0" w:line="300" w:lineRule="auto"/>
              <w:ind w:firstLine="0" w:firstLineChars="0"/>
              <w:jc w:val="both"/>
              <w:rPr>
                <w:rFonts w:hint="eastAsia" w:ascii="仿宋" w:hAnsi="仿宋" w:eastAsia="仿宋" w:cs="仿宋"/>
                <w:color w:val="000000" w:themeColor="text1"/>
                <w:spacing w:val="0"/>
                <w:w w:val="100"/>
                <w:sz w:val="21"/>
                <w:szCs w:val="21"/>
                <w:highlight w:val="none"/>
                <w14:textFill>
                  <w14:solidFill>
                    <w14:schemeClr w14:val="tx1"/>
                  </w14:solidFill>
                </w14:textFill>
              </w:rPr>
            </w:pPr>
            <w:r>
              <w:rPr>
                <w:rFonts w:hint="eastAsia" w:ascii="仿宋" w:hAnsi="仿宋" w:eastAsia="仿宋" w:cs="仿宋"/>
                <w:color w:val="000000" w:themeColor="text1"/>
                <w:spacing w:val="0"/>
                <w:w w:val="100"/>
                <w:sz w:val="21"/>
                <w:szCs w:val="21"/>
                <w:highlight w:val="none"/>
                <w14:textFill>
                  <w14:solidFill>
                    <w14:schemeClr w14:val="tx1"/>
                  </w14:solidFill>
                </w14:textFill>
              </w:rPr>
              <w:t>获取资料。</w:t>
            </w:r>
          </w:p>
          <w:p w14:paraId="3CA361BC">
            <w:pPr>
              <w:pStyle w:val="10"/>
              <w:widowControl w:val="0"/>
              <w:kinsoku/>
              <w:wordWrap/>
              <w:overflowPunct/>
              <w:topLinePunct w:val="0"/>
              <w:bidi w:val="0"/>
              <w:adjustRightInd w:val="0"/>
              <w:snapToGrid w:val="0"/>
              <w:spacing w:before="0" w:after="0" w:line="300" w:lineRule="auto"/>
              <w:ind w:firstLine="0" w:firstLineChars="0"/>
              <w:jc w:val="both"/>
              <w:rPr>
                <w:rFonts w:hint="eastAsia" w:ascii="仿宋" w:hAnsi="仿宋" w:eastAsia="仿宋" w:cs="仿宋"/>
                <w:color w:val="000000" w:themeColor="text1"/>
                <w:spacing w:val="0"/>
                <w:w w:val="100"/>
                <w:sz w:val="21"/>
                <w:szCs w:val="21"/>
                <w:highlight w:val="none"/>
                <w14:textFill>
                  <w14:solidFill>
                    <w14:schemeClr w14:val="tx1"/>
                  </w14:solidFill>
                </w14:textFill>
              </w:rPr>
            </w:pPr>
            <w:r>
              <w:rPr>
                <w:rFonts w:hint="eastAsia" w:ascii="仿宋" w:hAnsi="仿宋" w:eastAsia="仿宋" w:cs="仿宋"/>
                <w:color w:val="000000" w:themeColor="text1"/>
                <w:spacing w:val="0"/>
                <w:w w:val="100"/>
                <w:sz w:val="21"/>
                <w:szCs w:val="21"/>
                <w:highlight w:val="none"/>
                <w14:textFill>
                  <w14:solidFill>
                    <w14:schemeClr w14:val="tx1"/>
                  </w14:solidFill>
                </w14:textFill>
              </w:rPr>
              <w:t>（2）现场支持服务</w:t>
            </w:r>
          </w:p>
          <w:p w14:paraId="62E94F1F">
            <w:pPr>
              <w:pStyle w:val="10"/>
              <w:widowControl w:val="0"/>
              <w:kinsoku/>
              <w:wordWrap/>
              <w:overflowPunct/>
              <w:topLinePunct w:val="0"/>
              <w:bidi w:val="0"/>
              <w:adjustRightInd w:val="0"/>
              <w:snapToGrid w:val="0"/>
              <w:spacing w:before="0" w:after="0" w:line="300" w:lineRule="auto"/>
              <w:ind w:firstLine="0" w:firstLineChars="0"/>
              <w:jc w:val="both"/>
              <w:rPr>
                <w:rFonts w:hint="eastAsia" w:ascii="仿宋" w:hAnsi="仿宋" w:eastAsia="仿宋" w:cs="仿宋"/>
                <w:color w:val="000000" w:themeColor="text1"/>
                <w:spacing w:val="0"/>
                <w:w w:val="100"/>
                <w:sz w:val="21"/>
                <w:szCs w:val="21"/>
                <w:highlight w:val="none"/>
                <w14:textFill>
                  <w14:solidFill>
                    <w14:schemeClr w14:val="tx1"/>
                  </w14:solidFill>
                </w14:textFill>
              </w:rPr>
            </w:pPr>
            <w:r>
              <w:rPr>
                <w:rFonts w:hint="eastAsia" w:ascii="仿宋" w:hAnsi="仿宋" w:eastAsia="仿宋" w:cs="仿宋"/>
                <w:color w:val="000000" w:themeColor="text1"/>
                <w:spacing w:val="0"/>
                <w:w w:val="100"/>
                <w:sz w:val="21"/>
                <w:szCs w:val="21"/>
                <w:highlight w:val="none"/>
                <w14:textFill>
                  <w14:solidFill>
                    <w14:schemeClr w14:val="tx1"/>
                  </w14:solidFill>
                </w14:textFill>
              </w:rPr>
              <w:t>现场支持是指用户通过电话或传真等方式寻求技术支持和帮助，在经过双方商议确定需要进行现场支持的情况下，经验丰富的工程师将赴现场提供现场支持服务。</w:t>
            </w:r>
          </w:p>
          <w:p w14:paraId="2B8D52B2">
            <w:pPr>
              <w:pStyle w:val="10"/>
              <w:widowControl w:val="0"/>
              <w:kinsoku/>
              <w:wordWrap/>
              <w:overflowPunct/>
              <w:topLinePunct w:val="0"/>
              <w:bidi w:val="0"/>
              <w:adjustRightInd w:val="0"/>
              <w:snapToGrid w:val="0"/>
              <w:spacing w:before="0" w:after="0" w:line="300" w:lineRule="auto"/>
              <w:ind w:firstLine="0" w:firstLineChars="0"/>
              <w:jc w:val="both"/>
              <w:rPr>
                <w:rFonts w:hint="eastAsia" w:ascii="仿宋" w:hAnsi="仿宋" w:eastAsia="仿宋" w:cs="仿宋"/>
                <w:color w:val="000000" w:themeColor="text1"/>
                <w:spacing w:val="0"/>
                <w:w w:val="100"/>
                <w:sz w:val="21"/>
                <w:szCs w:val="21"/>
                <w:highlight w:val="none"/>
                <w14:textFill>
                  <w14:solidFill>
                    <w14:schemeClr w14:val="tx1"/>
                  </w14:solidFill>
                </w14:textFill>
              </w:rPr>
            </w:pPr>
            <w:r>
              <w:rPr>
                <w:rFonts w:hint="eastAsia" w:ascii="仿宋" w:hAnsi="仿宋" w:eastAsia="仿宋" w:cs="仿宋"/>
                <w:color w:val="000000" w:themeColor="text1"/>
                <w:spacing w:val="0"/>
                <w:w w:val="100"/>
                <w:sz w:val="21"/>
                <w:szCs w:val="21"/>
                <w:highlight w:val="none"/>
                <w14:textFill>
                  <w14:solidFill>
                    <w14:schemeClr w14:val="tx1"/>
                  </w14:solidFill>
                </w14:textFill>
              </w:rPr>
              <w:t>现场处理用户故障，通过部件的维修或更换等措施将系统在最短时间内修复。</w:t>
            </w:r>
          </w:p>
          <w:p w14:paraId="67AA48DC">
            <w:pPr>
              <w:pStyle w:val="10"/>
              <w:widowControl w:val="0"/>
              <w:kinsoku/>
              <w:wordWrap/>
              <w:overflowPunct/>
              <w:topLinePunct w:val="0"/>
              <w:bidi w:val="0"/>
              <w:adjustRightInd w:val="0"/>
              <w:snapToGrid w:val="0"/>
              <w:spacing w:before="0" w:after="0" w:line="300" w:lineRule="auto"/>
              <w:ind w:firstLine="0" w:firstLineChars="0"/>
              <w:jc w:val="both"/>
              <w:rPr>
                <w:rFonts w:hint="eastAsia" w:ascii="仿宋" w:hAnsi="仿宋" w:eastAsia="仿宋" w:cs="仿宋"/>
                <w:color w:val="000000" w:themeColor="text1"/>
                <w:spacing w:val="0"/>
                <w:w w:val="100"/>
                <w:sz w:val="21"/>
                <w:szCs w:val="21"/>
                <w:highlight w:val="none"/>
                <w14:textFill>
                  <w14:solidFill>
                    <w14:schemeClr w14:val="tx1"/>
                  </w14:solidFill>
                </w14:textFill>
              </w:rPr>
            </w:pPr>
            <w:r>
              <w:rPr>
                <w:rFonts w:hint="eastAsia" w:ascii="仿宋" w:hAnsi="仿宋" w:eastAsia="仿宋" w:cs="仿宋"/>
                <w:color w:val="000000" w:themeColor="text1"/>
                <w:spacing w:val="0"/>
                <w:w w:val="100"/>
                <w:sz w:val="21"/>
                <w:szCs w:val="21"/>
                <w:highlight w:val="none"/>
                <w14:textFill>
                  <w14:solidFill>
                    <w14:schemeClr w14:val="tx1"/>
                  </w14:solidFill>
                </w14:textFill>
              </w:rPr>
              <w:t>根据不同故障级别，现场支持服务要求如下：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3045"/>
              <w:gridCol w:w="1575"/>
              <w:gridCol w:w="3487"/>
            </w:tblGrid>
            <w:tr w14:paraId="0916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1211" w:type="dxa"/>
                  <w:vAlign w:val="center"/>
                </w:tcPr>
                <w:p w14:paraId="0ABA03BB">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级别</w:t>
                  </w:r>
                </w:p>
              </w:tc>
              <w:tc>
                <w:tcPr>
                  <w:tcW w:w="3045" w:type="dxa"/>
                  <w:vAlign w:val="center"/>
                </w:tcPr>
                <w:p w14:paraId="1D2DCE50">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具体现象</w:t>
                  </w:r>
                </w:p>
              </w:tc>
              <w:tc>
                <w:tcPr>
                  <w:tcW w:w="1575" w:type="dxa"/>
                  <w:vAlign w:val="center"/>
                </w:tcPr>
                <w:p w14:paraId="0150A171">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到达现场时间</w:t>
                  </w:r>
                </w:p>
              </w:tc>
              <w:tc>
                <w:tcPr>
                  <w:tcW w:w="3487" w:type="dxa"/>
                  <w:vAlign w:val="center"/>
                </w:tcPr>
                <w:p w14:paraId="0D4E1F61">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解决方案</w:t>
                  </w:r>
                </w:p>
              </w:tc>
            </w:tr>
            <w:tr w14:paraId="335E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211" w:type="dxa"/>
                  <w:vAlign w:val="center"/>
                </w:tcPr>
                <w:p w14:paraId="419E3097">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一级故障</w:t>
                  </w:r>
                </w:p>
              </w:tc>
              <w:tc>
                <w:tcPr>
                  <w:tcW w:w="3045" w:type="dxa"/>
                  <w:vAlign w:val="center"/>
                </w:tcPr>
                <w:p w14:paraId="6CBAECFA">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整个系统处于完全瘫痪状态，不能运行</w:t>
                  </w:r>
                </w:p>
              </w:tc>
              <w:tc>
                <w:tcPr>
                  <w:tcW w:w="1575" w:type="dxa"/>
                  <w:vAlign w:val="center"/>
                </w:tcPr>
                <w:p w14:paraId="5A222C5A">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3-6小时</w:t>
                  </w:r>
                </w:p>
              </w:tc>
              <w:tc>
                <w:tcPr>
                  <w:tcW w:w="3487" w:type="dxa"/>
                  <w:vAlign w:val="center"/>
                </w:tcPr>
                <w:p w14:paraId="6C0C6A82">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我方迅速及时到达故障现场处理故障。如果不能够定位故障原因，将协调派出资深的专家组奔赴现场。</w:t>
                  </w:r>
                </w:p>
              </w:tc>
            </w:tr>
            <w:tr w14:paraId="3075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211" w:type="dxa"/>
                  <w:vAlign w:val="center"/>
                </w:tcPr>
                <w:p w14:paraId="5DABDC9A">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二级故障</w:t>
                  </w:r>
                </w:p>
              </w:tc>
              <w:tc>
                <w:tcPr>
                  <w:tcW w:w="3045" w:type="dxa"/>
                  <w:vAlign w:val="center"/>
                </w:tcPr>
                <w:p w14:paraId="253AE0E8">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系统性能严重下降：包括网络性能明显下降、设备出现故障或软件系统出现非瘫痪性错误等，客户业务运作受到严重影响。</w:t>
                  </w:r>
                </w:p>
              </w:tc>
              <w:tc>
                <w:tcPr>
                  <w:tcW w:w="1575" w:type="dxa"/>
                  <w:vAlign w:val="center"/>
                </w:tcPr>
                <w:p w14:paraId="5ED2D967">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w:t>
                  </w:r>
                  <w:r>
                    <w:rPr>
                      <w:rFonts w:hint="eastAsia" w:ascii="仿宋" w:hAnsi="仿宋" w:eastAsia="仿宋" w:cs="仿宋"/>
                      <w:color w:val="000000" w:themeColor="text1"/>
                      <w:sz w:val="21"/>
                      <w:szCs w:val="21"/>
                      <w:highlight w:val="none"/>
                      <w:lang w:val="fr-FR"/>
                      <w14:textFill>
                        <w14:solidFill>
                          <w14:schemeClr w14:val="tx1"/>
                        </w14:solidFill>
                      </w14:textFill>
                    </w:rPr>
                    <w:t>小时</w:t>
                  </w:r>
                </w:p>
              </w:tc>
              <w:tc>
                <w:tcPr>
                  <w:tcW w:w="3487" w:type="dxa"/>
                  <w:vAlign w:val="center"/>
                </w:tcPr>
                <w:p w14:paraId="59EB3C4D">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我方迅速到达故障现场处理故障，并提供全面的设备运行报告和故障现象。</w:t>
                  </w:r>
                </w:p>
              </w:tc>
            </w:tr>
            <w:tr w14:paraId="1829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1211" w:type="dxa"/>
                  <w:vAlign w:val="center"/>
                </w:tcPr>
                <w:p w14:paraId="1E4FE6DA">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三级故障</w:t>
                  </w:r>
                </w:p>
              </w:tc>
              <w:tc>
                <w:tcPr>
                  <w:tcW w:w="3045" w:type="dxa"/>
                  <w:vAlign w:val="center"/>
                </w:tcPr>
                <w:p w14:paraId="7A580432">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系统部分设备或者软件出现故障，但整个系统仍可正常运行，客户业务运作受到一定影响。</w:t>
                  </w:r>
                </w:p>
              </w:tc>
              <w:tc>
                <w:tcPr>
                  <w:tcW w:w="1575" w:type="dxa"/>
                  <w:vAlign w:val="center"/>
                </w:tcPr>
                <w:p w14:paraId="1DA5EB8D">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w:t>
                  </w:r>
                  <w:r>
                    <w:rPr>
                      <w:rFonts w:hint="eastAsia" w:ascii="仿宋" w:hAnsi="仿宋" w:eastAsia="仿宋" w:cs="仿宋"/>
                      <w:color w:val="000000" w:themeColor="text1"/>
                      <w:sz w:val="21"/>
                      <w:szCs w:val="21"/>
                      <w:highlight w:val="none"/>
                      <w:lang w:val="fr-FR"/>
                      <w14:textFill>
                        <w14:solidFill>
                          <w14:schemeClr w14:val="tx1"/>
                        </w14:solidFill>
                      </w14:textFill>
                    </w:rPr>
                    <w:t>小时</w:t>
                  </w:r>
                </w:p>
              </w:tc>
              <w:tc>
                <w:tcPr>
                  <w:tcW w:w="3487" w:type="dxa"/>
                  <w:vAlign w:val="center"/>
                </w:tcPr>
                <w:p w14:paraId="014A3D98">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707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11" w:type="dxa"/>
                  <w:vAlign w:val="center"/>
                </w:tcPr>
                <w:p w14:paraId="0F1DE4FD">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四级故障</w:t>
                  </w:r>
                </w:p>
              </w:tc>
              <w:tc>
                <w:tcPr>
                  <w:tcW w:w="3045" w:type="dxa"/>
                  <w:vAlign w:val="center"/>
                </w:tcPr>
                <w:p w14:paraId="08E67C5E">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需要硬件、软件产品功能、安装或配置方面的信息和支援，对客户的业务运作几乎没有影响或者根本没有影响</w:t>
                  </w:r>
                </w:p>
              </w:tc>
              <w:tc>
                <w:tcPr>
                  <w:tcW w:w="1575" w:type="dxa"/>
                  <w:vAlign w:val="center"/>
                </w:tcPr>
                <w:p w14:paraId="0D3DD1B2">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24</w:t>
                  </w:r>
                  <w:r>
                    <w:rPr>
                      <w:rFonts w:hint="eastAsia" w:ascii="仿宋" w:hAnsi="仿宋" w:eastAsia="仿宋" w:cs="仿宋"/>
                      <w:color w:val="000000" w:themeColor="text1"/>
                      <w:sz w:val="21"/>
                      <w:szCs w:val="21"/>
                      <w:highlight w:val="none"/>
                      <w:lang w:val="fr-FR"/>
                      <w14:textFill>
                        <w14:solidFill>
                          <w14:schemeClr w14:val="tx1"/>
                        </w14:solidFill>
                      </w14:textFill>
                    </w:rPr>
                    <w:t>小时</w:t>
                  </w:r>
                </w:p>
              </w:tc>
              <w:tc>
                <w:tcPr>
                  <w:tcW w:w="3487" w:type="dxa"/>
                  <w:vAlign w:val="center"/>
                </w:tcPr>
                <w:p w14:paraId="17A24397">
                  <w:pPr>
                    <w:kinsoku/>
                    <w:wordWrap/>
                    <w:overflowPunct/>
                    <w:topLinePunct w:val="0"/>
                    <w:bidi w:val="0"/>
                    <w:spacing w:line="300" w:lineRule="auto"/>
                    <w:ind w:firstLine="21" w:firstLineChars="10"/>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我方工程师首先确定故障原因，协调找出损坏的设备部件并替换掉，使设备正常运行。此事件将被记录在案。</w:t>
                  </w:r>
                </w:p>
              </w:tc>
            </w:tr>
          </w:tbl>
          <w:p w14:paraId="0D00F515">
            <w:pPr>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p>
        </w:tc>
      </w:tr>
    </w:tbl>
    <w:p w14:paraId="0242119C">
      <w:pPr>
        <w:pStyle w:val="11"/>
        <w:tabs>
          <w:tab w:val="left" w:pos="567"/>
          <w:tab w:val="left" w:pos="980"/>
        </w:tabs>
        <w:kinsoku/>
        <w:wordWrap/>
        <w:overflowPunct/>
        <w:topLinePunct w:val="0"/>
        <w:bidi w:val="0"/>
        <w:spacing w:line="300" w:lineRule="auto"/>
        <w:ind w:left="-420" w:firstLine="211" w:firstLineChars="100"/>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大修周期内技术支持</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92"/>
        <w:gridCol w:w="3210"/>
        <w:gridCol w:w="2229"/>
        <w:gridCol w:w="2709"/>
      </w:tblGrid>
      <w:tr w14:paraId="31467C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tblHeader/>
          <w:jc w:val="center"/>
        </w:trPr>
        <w:tc>
          <w:tcPr>
            <w:tcW w:w="892" w:type="dxa"/>
            <w:vAlign w:val="center"/>
          </w:tcPr>
          <w:p w14:paraId="3BAA47E4">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序号</w:t>
            </w:r>
          </w:p>
        </w:tc>
        <w:tc>
          <w:tcPr>
            <w:tcW w:w="3210" w:type="dxa"/>
            <w:vAlign w:val="center"/>
          </w:tcPr>
          <w:p w14:paraId="0E94D4D8">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服务项目</w:t>
            </w:r>
          </w:p>
        </w:tc>
        <w:tc>
          <w:tcPr>
            <w:tcW w:w="2229" w:type="dxa"/>
            <w:vAlign w:val="center"/>
          </w:tcPr>
          <w:p w14:paraId="7EB612DE">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服务标准</w:t>
            </w:r>
          </w:p>
        </w:tc>
        <w:tc>
          <w:tcPr>
            <w:tcW w:w="2709" w:type="dxa"/>
            <w:vAlign w:val="center"/>
          </w:tcPr>
          <w:p w14:paraId="29FEDBE4">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备注</w:t>
            </w:r>
          </w:p>
        </w:tc>
      </w:tr>
      <w:tr w14:paraId="5BCFA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892" w:type="dxa"/>
            <w:vAlign w:val="center"/>
          </w:tcPr>
          <w:p w14:paraId="7820C0E1">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1</w:t>
            </w:r>
          </w:p>
        </w:tc>
        <w:tc>
          <w:tcPr>
            <w:tcW w:w="3210" w:type="dxa"/>
            <w:vAlign w:val="center"/>
          </w:tcPr>
          <w:p w14:paraId="1B948308">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咨询和电话支持服务7×24小时</w:t>
            </w:r>
          </w:p>
        </w:tc>
        <w:tc>
          <w:tcPr>
            <w:tcW w:w="2229" w:type="dxa"/>
            <w:vAlign w:val="center"/>
          </w:tcPr>
          <w:p w14:paraId="2B739729">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支持</w:t>
            </w:r>
          </w:p>
        </w:tc>
        <w:tc>
          <w:tcPr>
            <w:tcW w:w="2709" w:type="dxa"/>
            <w:vAlign w:val="center"/>
          </w:tcPr>
          <w:p w14:paraId="0C7ABDCA">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p>
        </w:tc>
      </w:tr>
      <w:tr w14:paraId="4E2B11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4" w:hRule="atLeast"/>
          <w:jc w:val="center"/>
        </w:trPr>
        <w:tc>
          <w:tcPr>
            <w:tcW w:w="892" w:type="dxa"/>
            <w:vAlign w:val="center"/>
          </w:tcPr>
          <w:p w14:paraId="47B50444">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2</w:t>
            </w:r>
          </w:p>
        </w:tc>
        <w:tc>
          <w:tcPr>
            <w:tcW w:w="3210" w:type="dxa"/>
            <w:vAlign w:val="center"/>
          </w:tcPr>
          <w:p w14:paraId="067180A5">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远程技术支持服务</w:t>
            </w:r>
          </w:p>
        </w:tc>
        <w:tc>
          <w:tcPr>
            <w:tcW w:w="2229" w:type="dxa"/>
            <w:vAlign w:val="center"/>
          </w:tcPr>
          <w:p w14:paraId="4B60E88C">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支持</w:t>
            </w:r>
          </w:p>
        </w:tc>
        <w:tc>
          <w:tcPr>
            <w:tcW w:w="2709" w:type="dxa"/>
            <w:vAlign w:val="center"/>
          </w:tcPr>
          <w:p w14:paraId="5FC61BF3">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电话及网络技术支持</w:t>
            </w:r>
          </w:p>
        </w:tc>
      </w:tr>
    </w:tbl>
    <w:p w14:paraId="655E1982">
      <w:pPr>
        <w:pStyle w:val="3"/>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43" w:name="_Toc25887"/>
      <w:bookmarkStart w:id="44" w:name="_Toc415087030"/>
      <w:bookmarkStart w:id="45" w:name="_Toc15660"/>
      <w:bookmarkStart w:id="46" w:name="_Toc387660033"/>
      <w:bookmarkStart w:id="47" w:name="_Toc19954"/>
      <w:bookmarkStart w:id="48" w:name="_Toc444423910"/>
      <w:bookmarkStart w:id="49" w:name="_Toc370999358"/>
      <w:bookmarkStart w:id="50" w:name="_Toc366082472"/>
      <w:bookmarkStart w:id="51" w:name="_Toc31435"/>
      <w:bookmarkStart w:id="52" w:name="_Toc277248386"/>
      <w:bookmarkStart w:id="53" w:name="_Toc357397592"/>
      <w:bookmarkStart w:id="54" w:name="_Toc217571398"/>
      <w:bookmarkStart w:id="55" w:name="_Toc4751269"/>
      <w:bookmarkStart w:id="56" w:name="_Toc4747814"/>
      <w:bookmarkStart w:id="57" w:name="_Toc6840914"/>
      <w:bookmarkStart w:id="58" w:name="_Toc18698"/>
      <w:bookmarkStart w:id="59" w:name="_Toc219621670"/>
      <w:bookmarkStart w:id="60" w:name="_Toc243980087"/>
      <w:r>
        <w:rPr>
          <w:rFonts w:hint="eastAsia" w:ascii="仿宋" w:hAnsi="仿宋" w:eastAsia="仿宋" w:cs="仿宋"/>
          <w:color w:val="000000" w:themeColor="text1"/>
          <w:sz w:val="21"/>
          <w:szCs w:val="21"/>
          <w:highlight w:val="none"/>
          <w14:textFill>
            <w14:solidFill>
              <w14:schemeClr w14:val="tx1"/>
            </w14:solidFill>
          </w14:textFill>
        </w:rPr>
        <w:t>三、远程技术服务</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6058111">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远程支持服务是指向招标人提供关于设备日常操作维护的咨询和非紧急情况下的故障处理。</w:t>
      </w:r>
    </w:p>
    <w:p w14:paraId="7C355824">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对于招标人非故障类问题，我公司提供全天侯7×24小时的咨询接收服务和全天侯7×24小时的咨询受理服务。</w:t>
      </w:r>
    </w:p>
    <w:p w14:paraId="25835DA8">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对于招标人故障类问题，我公司提供全天侯7×24小时电话技术指导服务，通过电话指导招标人排除设备故障。</w:t>
      </w:r>
    </w:p>
    <w:p w14:paraId="3BACC42F">
      <w:pPr>
        <w:pStyle w:val="3"/>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61" w:name="_Toc19143"/>
      <w:bookmarkStart w:id="62" w:name="_Toc28329"/>
      <w:bookmarkStart w:id="63" w:name="_Toc1236"/>
      <w:bookmarkStart w:id="64" w:name="_Toc5281085"/>
      <w:bookmarkStart w:id="65" w:name="_Toc4751270"/>
      <w:bookmarkStart w:id="66" w:name="_Toc26679"/>
      <w:bookmarkStart w:id="67" w:name="_Toc18209"/>
      <w:bookmarkStart w:id="68" w:name="_Toc6840915"/>
      <w:r>
        <w:rPr>
          <w:rFonts w:hint="eastAsia" w:ascii="仿宋" w:hAnsi="仿宋" w:eastAsia="仿宋" w:cs="仿宋"/>
          <w:color w:val="000000" w:themeColor="text1"/>
          <w:sz w:val="21"/>
          <w:szCs w:val="21"/>
          <w:highlight w:val="none"/>
          <w14:textFill>
            <w14:solidFill>
              <w14:schemeClr w14:val="tx1"/>
            </w14:solidFill>
          </w14:textFill>
        </w:rPr>
        <w:t>四、售后服务的实施方案</w:t>
      </w:r>
      <w:bookmarkEnd w:id="61"/>
      <w:bookmarkEnd w:id="62"/>
      <w:bookmarkEnd w:id="63"/>
      <w:bookmarkEnd w:id="64"/>
      <w:bookmarkEnd w:id="65"/>
      <w:bookmarkEnd w:id="66"/>
      <w:bookmarkEnd w:id="67"/>
      <w:bookmarkEnd w:id="68"/>
    </w:p>
    <w:p w14:paraId="6DEF03DB">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(1)、产品售后服务工作程序。</w:t>
      </w:r>
    </w:p>
    <w:p w14:paraId="0573DF06">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(2)、本公司对产品出厂后进行的调试验收及运行过程的服务直至产品合格并经需方认可后所做的工作，即为产品的售后服务工作。</w:t>
      </w:r>
    </w:p>
    <w:p w14:paraId="493FA366">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(3)、售后服务部根据客户的要求，详细询问所发生的质量问题及顾客要求填写《售后服务工作联络单》，必要时派技术维修人员到现场了解情况。</w:t>
      </w:r>
    </w:p>
    <w:p w14:paraId="296C5F11">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(4)、售后服务部根据维修方案，并视其工作量的大小合理调派售后服务人员立即到达客户现场。</w:t>
      </w:r>
    </w:p>
    <w:p w14:paraId="3D87CEF1">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(5)、售后服务人员到达客户现场后，请需方技术人员对维修方案进行确认。如有异议，由生产技术部组织相关部门协调解决。</w:t>
      </w:r>
    </w:p>
    <w:p w14:paraId="1E1ABD22">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现场服务时售后服务人员按双方确认的方案组织实施。服务结束后，提请需方对服务项目进行验收认可，并在《售后服务联络单》上签署意见。售后服务人员应主动询问需方对我公司产品质量及服务质量的具体要求或改进意见。</w:t>
      </w:r>
    </w:p>
    <w:p w14:paraId="02D68311">
      <w:pPr>
        <w:tabs>
          <w:tab w:val="left" w:pos="567"/>
        </w:tabs>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bookmarkStart w:id="69" w:name="_Toc32555"/>
      <w:bookmarkStart w:id="70" w:name="_Toc5281086"/>
      <w:bookmarkStart w:id="71" w:name="_Toc26892"/>
      <w:bookmarkStart w:id="72" w:name="_Toc26550"/>
      <w:bookmarkStart w:id="73" w:name="_Toc4751271"/>
      <w:bookmarkStart w:id="74" w:name="_Toc28488"/>
      <w:bookmarkStart w:id="75" w:name="_Toc25966"/>
      <w:bookmarkStart w:id="76" w:name="_Toc6840916"/>
      <w:r>
        <w:rPr>
          <w:rFonts w:hint="eastAsia" w:ascii="仿宋" w:hAnsi="仿宋" w:eastAsia="仿宋" w:cs="仿宋"/>
          <w:b/>
          <w:bCs/>
          <w:color w:val="000000" w:themeColor="text1"/>
          <w:sz w:val="21"/>
          <w:szCs w:val="21"/>
          <w:highlight w:val="none"/>
          <w14:textFill>
            <w14:solidFill>
              <w14:schemeClr w14:val="tx1"/>
            </w14:solidFill>
          </w14:textFill>
        </w:rPr>
        <w:t>五、售后服务内容</w:t>
      </w:r>
      <w:bookmarkEnd w:id="69"/>
      <w:bookmarkEnd w:id="70"/>
      <w:bookmarkEnd w:id="71"/>
      <w:bookmarkEnd w:id="72"/>
      <w:bookmarkEnd w:id="73"/>
      <w:bookmarkEnd w:id="74"/>
      <w:bookmarkEnd w:id="75"/>
      <w:bookmarkEnd w:id="76"/>
    </w:p>
    <w:p w14:paraId="7A6EE21D">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(1)、包括产品的安装调试工作、设备运行操作和维护保养人员的指导培训工作、保修期内涉及产品质量问题或安装质量问题的维修工作。</w:t>
      </w:r>
    </w:p>
    <w:p w14:paraId="0AE5628F">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(2)重大项目服务规定</w:t>
      </w:r>
    </w:p>
    <w:p w14:paraId="1D02C146">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(3)在用户单位就近设立售后服务联络点，配备具有一定资质、经验丰富的售后服务人员负责进行产品运行前的操作、维护、保养培训工作，并提供在保修期内的维修保养计划书。</w:t>
      </w:r>
    </w:p>
    <w:p w14:paraId="0DBD4C2F">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(4)对质保期内的产品进行定期免费保养，同时对产品运行情况进行认真的检查和记录。</w:t>
      </w:r>
    </w:p>
    <w:p w14:paraId="322071EE">
      <w:pPr>
        <w:tabs>
          <w:tab w:val="left" w:pos="567"/>
        </w:tabs>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bookmarkStart w:id="77" w:name="_Toc13879"/>
      <w:bookmarkStart w:id="78" w:name="_Toc19547"/>
      <w:bookmarkStart w:id="79" w:name="_Toc4751272"/>
      <w:bookmarkStart w:id="80" w:name="_Toc6840917"/>
      <w:bookmarkStart w:id="81" w:name="_Toc5281087"/>
      <w:bookmarkStart w:id="82" w:name="_Toc1750"/>
      <w:bookmarkStart w:id="83" w:name="_Toc16014"/>
      <w:bookmarkStart w:id="84" w:name="_Toc24731"/>
      <w:r>
        <w:rPr>
          <w:rFonts w:hint="eastAsia" w:ascii="仿宋" w:hAnsi="仿宋" w:eastAsia="仿宋" w:cs="仿宋"/>
          <w:b/>
          <w:bCs/>
          <w:color w:val="000000" w:themeColor="text1"/>
          <w:sz w:val="21"/>
          <w:szCs w:val="21"/>
          <w:highlight w:val="none"/>
          <w14:textFill>
            <w14:solidFill>
              <w14:schemeClr w14:val="tx1"/>
            </w14:solidFill>
          </w14:textFill>
        </w:rPr>
        <w:t>六、产品质量回访工作要求</w:t>
      </w:r>
      <w:bookmarkEnd w:id="77"/>
      <w:bookmarkEnd w:id="78"/>
      <w:bookmarkEnd w:id="79"/>
      <w:bookmarkEnd w:id="80"/>
      <w:bookmarkEnd w:id="81"/>
      <w:bookmarkEnd w:id="82"/>
      <w:bookmarkEnd w:id="83"/>
      <w:bookmarkEnd w:id="84"/>
    </w:p>
    <w:p w14:paraId="21BF7C8C">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(1)售后服务部每年以信访形式了解产品运行情况及顾客的要求、意见和建议，并把有关信息反馈至公司相关职能部门。</w:t>
      </w:r>
    </w:p>
    <w:p w14:paraId="4A19CC78">
      <w:pPr>
        <w:tabs>
          <w:tab w:val="left" w:pos="567"/>
        </w:tabs>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(2)对于重大工程项目及重点顾客，必要时由售后服务部派专人进行走访，对走访中获得的信息、意见及改进要求进行记录整理。</w:t>
      </w:r>
      <w:bookmarkStart w:id="85" w:name="_Toc8501"/>
      <w:bookmarkStart w:id="86" w:name="_Toc6840918"/>
      <w:bookmarkStart w:id="87" w:name="_Toc24578"/>
      <w:bookmarkStart w:id="88" w:name="_Toc4751273"/>
      <w:bookmarkStart w:id="89" w:name="_Toc29798"/>
      <w:bookmarkStart w:id="90" w:name="_Toc10721"/>
      <w:bookmarkStart w:id="91" w:name="_Toc5281088"/>
      <w:bookmarkStart w:id="92" w:name="_Toc18029"/>
    </w:p>
    <w:p w14:paraId="5AC5E79E">
      <w:pPr>
        <w:tabs>
          <w:tab w:val="left" w:pos="567"/>
        </w:tabs>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七、故障分类</w:t>
      </w:r>
      <w:bookmarkEnd w:id="85"/>
      <w:bookmarkEnd w:id="86"/>
      <w:bookmarkEnd w:id="87"/>
      <w:bookmarkEnd w:id="88"/>
      <w:bookmarkEnd w:id="89"/>
      <w:bookmarkEnd w:id="90"/>
      <w:bookmarkEnd w:id="91"/>
      <w:bookmarkEnd w:id="92"/>
    </w:p>
    <w:p w14:paraId="755371EF">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为保证系统可靠运行，达到故障影响最小化，我方根据信息电源系统的实际情况和长期积累的技术服务经验，将信息电源系统故障等级分为四级，具体如下：</w:t>
      </w:r>
    </w:p>
    <w:p w14:paraId="1D46E05A">
      <w:pPr>
        <w:widowControl/>
        <w:kinsoku/>
        <w:wordWrap/>
        <w:overflowPunct/>
        <w:topLinePunct w:val="0"/>
        <w:bidi w:val="0"/>
        <w:spacing w:line="300" w:lineRule="auto"/>
        <w:jc w:val="center"/>
        <w:rPr>
          <w:rFonts w:hint="eastAsia" w:ascii="仿宋" w:hAnsi="仿宋" w:eastAsia="仿宋" w:cs="仿宋"/>
          <w:b/>
          <w:color w:val="000000" w:themeColor="text1"/>
          <w:spacing w:val="10"/>
          <w:kern w:val="0"/>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r>
        <w:rPr>
          <w:rFonts w:hint="eastAsia" w:ascii="仿宋" w:hAnsi="仿宋" w:eastAsia="仿宋" w:cs="仿宋"/>
          <w:b/>
          <w:color w:val="000000" w:themeColor="text1"/>
          <w:spacing w:val="10"/>
          <w:kern w:val="0"/>
          <w:sz w:val="21"/>
          <w:szCs w:val="21"/>
          <w:highlight w:val="none"/>
          <w14:textFill>
            <w14:solidFill>
              <w14:schemeClr w14:val="tx1"/>
            </w14:solidFill>
          </w14:textFill>
        </w:rPr>
        <w:t>故障分级表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120"/>
        <w:gridCol w:w="1288"/>
        <w:gridCol w:w="3539"/>
      </w:tblGrid>
      <w:tr w14:paraId="046A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blHeader/>
          <w:jc w:val="center"/>
        </w:trPr>
        <w:tc>
          <w:tcPr>
            <w:tcW w:w="1260" w:type="dxa"/>
            <w:vAlign w:val="center"/>
          </w:tcPr>
          <w:p w14:paraId="4319A05B">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级别</w:t>
            </w:r>
          </w:p>
        </w:tc>
        <w:tc>
          <w:tcPr>
            <w:tcW w:w="3120" w:type="dxa"/>
            <w:vAlign w:val="center"/>
          </w:tcPr>
          <w:p w14:paraId="49299DB9">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具体现象</w:t>
            </w:r>
          </w:p>
        </w:tc>
        <w:tc>
          <w:tcPr>
            <w:tcW w:w="1288" w:type="dxa"/>
            <w:vAlign w:val="center"/>
          </w:tcPr>
          <w:p w14:paraId="5C9493CD">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到达现场时间</w:t>
            </w:r>
          </w:p>
        </w:tc>
        <w:tc>
          <w:tcPr>
            <w:tcW w:w="3539" w:type="dxa"/>
            <w:vAlign w:val="center"/>
          </w:tcPr>
          <w:p w14:paraId="4AF71842">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解决方案</w:t>
            </w:r>
          </w:p>
        </w:tc>
      </w:tr>
      <w:tr w14:paraId="02FE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260" w:type="dxa"/>
            <w:vAlign w:val="center"/>
          </w:tcPr>
          <w:p w14:paraId="02173189">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一级故障</w:t>
            </w:r>
          </w:p>
        </w:tc>
        <w:tc>
          <w:tcPr>
            <w:tcW w:w="3120" w:type="dxa"/>
            <w:vAlign w:val="center"/>
          </w:tcPr>
          <w:p w14:paraId="4ED3FDE8">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整个系统处于完全瘫痪状态，不能运行</w:t>
            </w:r>
          </w:p>
        </w:tc>
        <w:tc>
          <w:tcPr>
            <w:tcW w:w="1288" w:type="dxa"/>
            <w:vAlign w:val="center"/>
          </w:tcPr>
          <w:p w14:paraId="35C07C69">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3-6小时</w:t>
            </w:r>
          </w:p>
        </w:tc>
        <w:tc>
          <w:tcPr>
            <w:tcW w:w="3539" w:type="dxa"/>
            <w:vAlign w:val="center"/>
          </w:tcPr>
          <w:p w14:paraId="34718B6E">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我方迅速及时到达故障现场处理故障。如果不能够定位故障原因，将协调派出资深的专家组奔赴现场。</w:t>
            </w:r>
          </w:p>
        </w:tc>
      </w:tr>
      <w:tr w14:paraId="0FB7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260" w:type="dxa"/>
            <w:vAlign w:val="center"/>
          </w:tcPr>
          <w:p w14:paraId="05DD46A6">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二级故障</w:t>
            </w:r>
          </w:p>
        </w:tc>
        <w:tc>
          <w:tcPr>
            <w:tcW w:w="3120" w:type="dxa"/>
            <w:vAlign w:val="center"/>
          </w:tcPr>
          <w:p w14:paraId="14EBF87F">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系统性能严重下降：包括网络性能明显下降、设备出现故障或软件系统出现非瘫痪性错误等，客户业务运作受到严重影响。</w:t>
            </w:r>
          </w:p>
        </w:tc>
        <w:tc>
          <w:tcPr>
            <w:tcW w:w="1288" w:type="dxa"/>
            <w:vAlign w:val="center"/>
          </w:tcPr>
          <w:p w14:paraId="3BA8CE5C">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w:t>
            </w:r>
            <w:r>
              <w:rPr>
                <w:rFonts w:hint="eastAsia" w:ascii="仿宋" w:hAnsi="仿宋" w:eastAsia="仿宋" w:cs="仿宋"/>
                <w:color w:val="000000" w:themeColor="text1"/>
                <w:sz w:val="21"/>
                <w:szCs w:val="21"/>
                <w:highlight w:val="none"/>
                <w:lang w:val="fr-FR"/>
                <w14:textFill>
                  <w14:solidFill>
                    <w14:schemeClr w14:val="tx1"/>
                  </w14:solidFill>
                </w14:textFill>
              </w:rPr>
              <w:t>小时</w:t>
            </w:r>
          </w:p>
        </w:tc>
        <w:tc>
          <w:tcPr>
            <w:tcW w:w="3539" w:type="dxa"/>
            <w:vAlign w:val="center"/>
          </w:tcPr>
          <w:p w14:paraId="56016CC9">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我方迅速到达故障现场处理故障，并提供全面的设备运行报告和故障现象。</w:t>
            </w:r>
          </w:p>
        </w:tc>
      </w:tr>
      <w:tr w14:paraId="42F3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60" w:type="dxa"/>
            <w:vAlign w:val="center"/>
          </w:tcPr>
          <w:p w14:paraId="02B5CAA0">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三级故障</w:t>
            </w:r>
          </w:p>
        </w:tc>
        <w:tc>
          <w:tcPr>
            <w:tcW w:w="3120" w:type="dxa"/>
            <w:vAlign w:val="center"/>
          </w:tcPr>
          <w:p w14:paraId="132AFD19">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系统部分设备或者软件出现故障，但整个系统仍可正常运行，客户业务运作受到一定影响。</w:t>
            </w:r>
          </w:p>
        </w:tc>
        <w:tc>
          <w:tcPr>
            <w:tcW w:w="1288" w:type="dxa"/>
            <w:vAlign w:val="center"/>
          </w:tcPr>
          <w:p w14:paraId="733C588F">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w:t>
            </w:r>
            <w:r>
              <w:rPr>
                <w:rFonts w:hint="eastAsia" w:ascii="仿宋" w:hAnsi="仿宋" w:eastAsia="仿宋" w:cs="仿宋"/>
                <w:color w:val="000000" w:themeColor="text1"/>
                <w:sz w:val="21"/>
                <w:szCs w:val="21"/>
                <w:highlight w:val="none"/>
                <w:lang w:val="fr-FR"/>
                <w14:textFill>
                  <w14:solidFill>
                    <w14:schemeClr w14:val="tx1"/>
                  </w14:solidFill>
                </w14:textFill>
              </w:rPr>
              <w:t>小时</w:t>
            </w:r>
          </w:p>
        </w:tc>
        <w:tc>
          <w:tcPr>
            <w:tcW w:w="3539" w:type="dxa"/>
            <w:vAlign w:val="center"/>
          </w:tcPr>
          <w:p w14:paraId="6D1E6ACB">
            <w:pPr>
              <w:kinsoku/>
              <w:wordWrap/>
              <w:overflowPunct/>
              <w:topLinePunct w:val="0"/>
              <w:bidi w:val="0"/>
              <w:spacing w:line="300" w:lineRule="auto"/>
              <w:ind w:firstLine="21" w:firstLineChars="10"/>
              <w:jc w:val="left"/>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B1E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260" w:type="dxa"/>
            <w:vAlign w:val="center"/>
          </w:tcPr>
          <w:p w14:paraId="234711AA">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lang w:val="fr-FR"/>
                <w14:textFill>
                  <w14:solidFill>
                    <w14:schemeClr w14:val="tx1"/>
                  </w14:solidFill>
                </w14:textFill>
              </w:rPr>
              <w:t>四级故障</w:t>
            </w:r>
          </w:p>
        </w:tc>
        <w:tc>
          <w:tcPr>
            <w:tcW w:w="3120" w:type="dxa"/>
            <w:vAlign w:val="center"/>
          </w:tcPr>
          <w:p w14:paraId="787D68B1">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需要硬件、软件产品功能、安装或配置方面的信息和支援，对客户的业务运作几乎没有影响或者根本没有影响</w:t>
            </w:r>
          </w:p>
        </w:tc>
        <w:tc>
          <w:tcPr>
            <w:tcW w:w="1288" w:type="dxa"/>
            <w:vAlign w:val="center"/>
          </w:tcPr>
          <w:p w14:paraId="7E264881">
            <w:pPr>
              <w:kinsoku/>
              <w:wordWrap/>
              <w:overflowPunct/>
              <w:topLinePunct w:val="0"/>
              <w:bidi w:val="0"/>
              <w:spacing w:line="300" w:lineRule="auto"/>
              <w:ind w:firstLine="21" w:firstLineChars="10"/>
              <w:jc w:val="center"/>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24</w:t>
            </w:r>
            <w:r>
              <w:rPr>
                <w:rFonts w:hint="eastAsia" w:ascii="仿宋" w:hAnsi="仿宋" w:eastAsia="仿宋" w:cs="仿宋"/>
                <w:color w:val="000000" w:themeColor="text1"/>
                <w:sz w:val="21"/>
                <w:szCs w:val="21"/>
                <w:highlight w:val="none"/>
                <w:lang w:val="fr-FR"/>
                <w14:textFill>
                  <w14:solidFill>
                    <w14:schemeClr w14:val="tx1"/>
                  </w14:solidFill>
                </w14:textFill>
              </w:rPr>
              <w:t>小时</w:t>
            </w:r>
          </w:p>
        </w:tc>
        <w:tc>
          <w:tcPr>
            <w:tcW w:w="3539" w:type="dxa"/>
            <w:vAlign w:val="center"/>
          </w:tcPr>
          <w:p w14:paraId="1DB886F5">
            <w:pPr>
              <w:kinsoku/>
              <w:wordWrap/>
              <w:overflowPunct/>
              <w:topLinePunct w:val="0"/>
              <w:bidi w:val="0"/>
              <w:spacing w:line="300" w:lineRule="auto"/>
              <w:ind w:firstLine="21" w:firstLineChars="10"/>
              <w:jc w:val="left"/>
              <w:rPr>
                <w:rFonts w:hint="eastAsia" w:ascii="仿宋" w:hAnsi="仿宋" w:eastAsia="仿宋" w:cs="仿宋"/>
                <w:color w:val="000000" w:themeColor="text1"/>
                <w:sz w:val="21"/>
                <w:szCs w:val="21"/>
                <w:highlight w:val="none"/>
                <w:lang w:val="fr-FR"/>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我方工程师首先确定故障原因，协调找出损坏的设备部件并替换掉，使设备正常运行。此事件将被记录在案。</w:t>
            </w:r>
          </w:p>
        </w:tc>
      </w:tr>
    </w:tbl>
    <w:p w14:paraId="6104C5A8">
      <w:pPr>
        <w:pStyle w:val="3"/>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93" w:name="_Toc4751274"/>
      <w:bookmarkStart w:id="94" w:name="_Toc11940"/>
      <w:bookmarkStart w:id="95" w:name="_Toc5281089"/>
      <w:bookmarkStart w:id="96" w:name="_Toc6840919"/>
      <w:r>
        <w:rPr>
          <w:rFonts w:hint="eastAsia" w:ascii="仿宋" w:hAnsi="仿宋" w:eastAsia="仿宋" w:cs="仿宋"/>
          <w:color w:val="000000" w:themeColor="text1"/>
          <w:sz w:val="21"/>
          <w:szCs w:val="21"/>
          <w:highlight w:val="none"/>
          <w14:textFill>
            <w14:solidFill>
              <w14:schemeClr w14:val="tx1"/>
            </w14:solidFill>
          </w14:textFill>
        </w:rPr>
        <w:t>八、出现故障响应时间分类表</w:t>
      </w:r>
      <w:bookmarkEnd w:id="93"/>
      <w:bookmarkEnd w:id="94"/>
      <w:bookmarkEnd w:id="95"/>
      <w:bookmarkEnd w:id="96"/>
    </w:p>
    <w:p w14:paraId="0F1FB997">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对于不同级别的故障，我方将进行分级处理，等级越高，处理的时间越短，派出人员的能力也越高。对于不同级别故障的故障响应人和故障处理方案如下：</w:t>
      </w:r>
    </w:p>
    <w:p w14:paraId="4F1F9D7C">
      <w:pPr>
        <w:widowControl/>
        <w:kinsoku/>
        <w:wordWrap/>
        <w:overflowPunct/>
        <w:topLinePunct w:val="0"/>
        <w:bidi w:val="0"/>
        <w:spacing w:line="300" w:lineRule="auto"/>
        <w:jc w:val="center"/>
        <w:rPr>
          <w:rFonts w:hint="eastAsia" w:ascii="仿宋" w:hAnsi="仿宋" w:eastAsia="仿宋" w:cs="仿宋"/>
          <w:b/>
          <w:color w:val="000000" w:themeColor="text1"/>
          <w:spacing w:val="10"/>
          <w:kern w:val="0"/>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r>
        <w:rPr>
          <w:rFonts w:hint="eastAsia" w:ascii="仿宋" w:hAnsi="仿宋" w:eastAsia="仿宋" w:cs="仿宋"/>
          <w:b/>
          <w:color w:val="000000" w:themeColor="text1"/>
          <w:spacing w:val="10"/>
          <w:kern w:val="0"/>
          <w:sz w:val="21"/>
          <w:szCs w:val="21"/>
          <w:highlight w:val="none"/>
          <w14:textFill>
            <w14:solidFill>
              <w14:schemeClr w14:val="tx1"/>
            </w14:solidFill>
          </w14:textFill>
        </w:rPr>
        <w:t>故障响应处理表</w:t>
      </w:r>
    </w:p>
    <w:tbl>
      <w:tblPr>
        <w:tblStyle w:val="6"/>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18"/>
        <w:gridCol w:w="2203"/>
        <w:gridCol w:w="5492"/>
      </w:tblGrid>
      <w:tr w14:paraId="46A2D2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6" w:hRule="atLeast"/>
          <w:tblHeader/>
          <w:jc w:val="center"/>
        </w:trPr>
        <w:tc>
          <w:tcPr>
            <w:tcW w:w="1218" w:type="dxa"/>
            <w:vAlign w:val="center"/>
          </w:tcPr>
          <w:p w14:paraId="0AE990C4">
            <w:pPr>
              <w:pStyle w:val="12"/>
              <w:tabs>
                <w:tab w:val="left" w:pos="567"/>
              </w:tabs>
              <w:kinsoku/>
              <w:wordWrap/>
              <w:overflowPunct/>
              <w:topLinePunct w:val="0"/>
              <w:bidi w:val="0"/>
              <w:spacing w:beforeLines="0" w:afterLines="0" w:line="300" w:lineRule="auto"/>
              <w:jc w:val="center"/>
              <w:rPr>
                <w:rFonts w:hint="eastAsia" w:ascii="仿宋" w:hAnsi="仿宋" w:eastAsia="仿宋" w:cs="仿宋"/>
                <w:b/>
                <w:color w:val="000000" w:themeColor="text1"/>
                <w:spacing w:val="10"/>
                <w:sz w:val="21"/>
                <w:szCs w:val="21"/>
                <w:highlight w:val="none"/>
                <w14:textFill>
                  <w14:solidFill>
                    <w14:schemeClr w14:val="tx1"/>
                  </w14:solidFill>
                </w14:textFill>
              </w:rPr>
            </w:pPr>
            <w:r>
              <w:rPr>
                <w:rFonts w:hint="eastAsia" w:ascii="仿宋" w:hAnsi="仿宋" w:eastAsia="仿宋" w:cs="仿宋"/>
                <w:b/>
                <w:color w:val="000000" w:themeColor="text1"/>
                <w:spacing w:val="10"/>
                <w:sz w:val="21"/>
                <w:szCs w:val="21"/>
                <w:highlight w:val="none"/>
                <w14:textFill>
                  <w14:solidFill>
                    <w14:schemeClr w14:val="tx1"/>
                  </w14:solidFill>
                </w14:textFill>
              </w:rPr>
              <w:t>故障</w:t>
            </w:r>
          </w:p>
          <w:p w14:paraId="3D636633">
            <w:pPr>
              <w:pStyle w:val="12"/>
              <w:tabs>
                <w:tab w:val="left" w:pos="567"/>
              </w:tabs>
              <w:kinsoku/>
              <w:wordWrap/>
              <w:overflowPunct/>
              <w:topLinePunct w:val="0"/>
              <w:bidi w:val="0"/>
              <w:spacing w:beforeLines="0" w:afterLines="0" w:line="300" w:lineRule="auto"/>
              <w:jc w:val="center"/>
              <w:rPr>
                <w:rFonts w:hint="eastAsia" w:ascii="仿宋" w:hAnsi="仿宋" w:eastAsia="仿宋" w:cs="仿宋"/>
                <w:b/>
                <w:color w:val="000000" w:themeColor="text1"/>
                <w:spacing w:val="10"/>
                <w:sz w:val="21"/>
                <w:szCs w:val="21"/>
                <w:highlight w:val="none"/>
                <w14:textFill>
                  <w14:solidFill>
                    <w14:schemeClr w14:val="tx1"/>
                  </w14:solidFill>
                </w14:textFill>
              </w:rPr>
            </w:pPr>
            <w:r>
              <w:rPr>
                <w:rFonts w:hint="eastAsia" w:ascii="仿宋" w:hAnsi="仿宋" w:eastAsia="仿宋" w:cs="仿宋"/>
                <w:b/>
                <w:color w:val="000000" w:themeColor="text1"/>
                <w:spacing w:val="10"/>
                <w:sz w:val="21"/>
                <w:szCs w:val="21"/>
                <w:highlight w:val="none"/>
                <w14:textFill>
                  <w14:solidFill>
                    <w14:schemeClr w14:val="tx1"/>
                  </w14:solidFill>
                </w14:textFill>
              </w:rPr>
              <w:t>级别</w:t>
            </w:r>
          </w:p>
        </w:tc>
        <w:tc>
          <w:tcPr>
            <w:tcW w:w="2203" w:type="dxa"/>
            <w:vAlign w:val="center"/>
          </w:tcPr>
          <w:p w14:paraId="295498CE">
            <w:pPr>
              <w:pStyle w:val="12"/>
              <w:tabs>
                <w:tab w:val="left" w:pos="567"/>
              </w:tabs>
              <w:kinsoku/>
              <w:wordWrap/>
              <w:overflowPunct/>
              <w:topLinePunct w:val="0"/>
              <w:bidi w:val="0"/>
              <w:spacing w:beforeLines="0" w:afterLines="0" w:line="300" w:lineRule="auto"/>
              <w:jc w:val="center"/>
              <w:rPr>
                <w:rFonts w:hint="eastAsia" w:ascii="仿宋" w:hAnsi="仿宋" w:eastAsia="仿宋" w:cs="仿宋"/>
                <w:b/>
                <w:color w:val="000000" w:themeColor="text1"/>
                <w:spacing w:val="10"/>
                <w:sz w:val="21"/>
                <w:szCs w:val="21"/>
                <w:highlight w:val="none"/>
                <w14:textFill>
                  <w14:solidFill>
                    <w14:schemeClr w14:val="tx1"/>
                  </w14:solidFill>
                </w14:textFill>
              </w:rPr>
            </w:pPr>
            <w:r>
              <w:rPr>
                <w:rFonts w:hint="eastAsia" w:ascii="仿宋" w:hAnsi="仿宋" w:eastAsia="仿宋" w:cs="仿宋"/>
                <w:b/>
                <w:color w:val="000000" w:themeColor="text1"/>
                <w:spacing w:val="10"/>
                <w:sz w:val="21"/>
                <w:szCs w:val="21"/>
                <w:highlight w:val="none"/>
                <w14:textFill>
                  <w14:solidFill>
                    <w14:schemeClr w14:val="tx1"/>
                  </w14:solidFill>
                </w14:textFill>
              </w:rPr>
              <w:t>故障响应人</w:t>
            </w:r>
          </w:p>
        </w:tc>
        <w:tc>
          <w:tcPr>
            <w:tcW w:w="5492" w:type="dxa"/>
            <w:vAlign w:val="center"/>
          </w:tcPr>
          <w:p w14:paraId="2D76EE5B">
            <w:pPr>
              <w:pStyle w:val="12"/>
              <w:tabs>
                <w:tab w:val="left" w:pos="567"/>
              </w:tabs>
              <w:kinsoku/>
              <w:wordWrap/>
              <w:overflowPunct/>
              <w:topLinePunct w:val="0"/>
              <w:bidi w:val="0"/>
              <w:spacing w:beforeLines="0" w:afterLines="0" w:line="300" w:lineRule="auto"/>
              <w:jc w:val="center"/>
              <w:rPr>
                <w:rFonts w:hint="eastAsia" w:ascii="仿宋" w:hAnsi="仿宋" w:eastAsia="仿宋" w:cs="仿宋"/>
                <w:b/>
                <w:color w:val="000000" w:themeColor="text1"/>
                <w:spacing w:val="10"/>
                <w:sz w:val="21"/>
                <w:szCs w:val="21"/>
                <w:highlight w:val="none"/>
                <w14:textFill>
                  <w14:solidFill>
                    <w14:schemeClr w14:val="tx1"/>
                  </w14:solidFill>
                </w14:textFill>
              </w:rPr>
            </w:pPr>
            <w:r>
              <w:rPr>
                <w:rFonts w:hint="eastAsia" w:ascii="仿宋" w:hAnsi="仿宋" w:eastAsia="仿宋" w:cs="仿宋"/>
                <w:b/>
                <w:color w:val="000000" w:themeColor="text1"/>
                <w:spacing w:val="10"/>
                <w:sz w:val="21"/>
                <w:szCs w:val="21"/>
                <w:highlight w:val="none"/>
                <w14:textFill>
                  <w14:solidFill>
                    <w14:schemeClr w14:val="tx1"/>
                  </w14:solidFill>
                </w14:textFill>
              </w:rPr>
              <w:t>故障处理方案</w:t>
            </w:r>
          </w:p>
        </w:tc>
      </w:tr>
      <w:tr w14:paraId="1B514D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6F736B18">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一级故障</w:t>
            </w:r>
          </w:p>
        </w:tc>
        <w:tc>
          <w:tcPr>
            <w:tcW w:w="2203" w:type="dxa"/>
            <w:vAlign w:val="center"/>
          </w:tcPr>
          <w:p w14:paraId="39E060B2">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我方主管领导</w:t>
            </w:r>
          </w:p>
          <w:p w14:paraId="6FEA5292">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技术服务负责人</w:t>
            </w:r>
          </w:p>
          <w:p w14:paraId="0B6E96F0">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技术中心负责人</w:t>
            </w:r>
          </w:p>
          <w:p w14:paraId="2CA13E3E">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技术骨干工程师</w:t>
            </w:r>
          </w:p>
          <w:p w14:paraId="40DDAE2F">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技术服务工程师</w:t>
            </w:r>
          </w:p>
        </w:tc>
        <w:tc>
          <w:tcPr>
            <w:tcW w:w="5492" w:type="dxa"/>
            <w:vAlign w:val="center"/>
          </w:tcPr>
          <w:p w14:paraId="13701CDD">
            <w:pPr>
              <w:pStyle w:val="12"/>
              <w:widowControl/>
              <w:numPr>
                <w:ilvl w:val="0"/>
                <w:numId w:val="2"/>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电话支持解决；无法远程解决，进行现场技术服务；</w:t>
            </w:r>
          </w:p>
          <w:p w14:paraId="4F101151">
            <w:pPr>
              <w:pStyle w:val="12"/>
              <w:widowControl/>
              <w:numPr>
                <w:ilvl w:val="0"/>
                <w:numId w:val="2"/>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我方主管领导现场指挥；</w:t>
            </w:r>
          </w:p>
          <w:p w14:paraId="367531C2">
            <w:pPr>
              <w:pStyle w:val="12"/>
              <w:widowControl/>
              <w:numPr>
                <w:ilvl w:val="0"/>
                <w:numId w:val="2"/>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安排相关部门负责人及技术骨干到场；</w:t>
            </w:r>
          </w:p>
          <w:p w14:paraId="4902B771">
            <w:pPr>
              <w:pStyle w:val="12"/>
              <w:widowControl/>
              <w:numPr>
                <w:ilvl w:val="0"/>
                <w:numId w:val="2"/>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启用应急方案，恢复系统运行；</w:t>
            </w:r>
          </w:p>
          <w:p w14:paraId="08444D56">
            <w:pPr>
              <w:pStyle w:val="12"/>
              <w:widowControl/>
              <w:numPr>
                <w:ilvl w:val="0"/>
                <w:numId w:val="2"/>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技术人员查找问题并解决问题；</w:t>
            </w:r>
          </w:p>
          <w:p w14:paraId="3F578335">
            <w:pPr>
              <w:pStyle w:val="12"/>
              <w:widowControl/>
              <w:numPr>
                <w:ilvl w:val="0"/>
                <w:numId w:val="2"/>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向招标方提交问题调查报告，并提供防止再次发生同类故障的措施和办法。</w:t>
            </w:r>
          </w:p>
        </w:tc>
      </w:tr>
      <w:tr w14:paraId="194BEE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1" w:hRule="atLeast"/>
          <w:jc w:val="center"/>
        </w:trPr>
        <w:tc>
          <w:tcPr>
            <w:tcW w:w="1218" w:type="dxa"/>
            <w:vAlign w:val="center"/>
          </w:tcPr>
          <w:p w14:paraId="1908289B">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二级故障</w:t>
            </w:r>
          </w:p>
        </w:tc>
        <w:tc>
          <w:tcPr>
            <w:tcW w:w="2203" w:type="dxa"/>
            <w:vAlign w:val="center"/>
          </w:tcPr>
          <w:p w14:paraId="690A7854">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技术服务负责人</w:t>
            </w:r>
          </w:p>
          <w:p w14:paraId="51B72D4B">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技术中心负责人</w:t>
            </w:r>
          </w:p>
          <w:p w14:paraId="7B517CF8">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技术骨干工程师</w:t>
            </w:r>
          </w:p>
          <w:p w14:paraId="0034376D">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技术服务工程师</w:t>
            </w:r>
          </w:p>
        </w:tc>
        <w:tc>
          <w:tcPr>
            <w:tcW w:w="5492" w:type="dxa"/>
            <w:vAlign w:val="center"/>
          </w:tcPr>
          <w:p w14:paraId="6E3EF17D">
            <w:pPr>
              <w:pStyle w:val="12"/>
              <w:widowControl/>
              <w:numPr>
                <w:ilvl w:val="0"/>
                <w:numId w:val="3"/>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电话支持解决；无法远程解决，进行现场技术服务；</w:t>
            </w:r>
          </w:p>
          <w:p w14:paraId="7FC33EA5">
            <w:pPr>
              <w:pStyle w:val="12"/>
              <w:widowControl/>
              <w:numPr>
                <w:ilvl w:val="0"/>
                <w:numId w:val="3"/>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设备故障，停运出现故障的相关设备，进行隔离，在维修模式下或者接入调试系统诊断问题；</w:t>
            </w:r>
          </w:p>
          <w:p w14:paraId="0047404C">
            <w:pPr>
              <w:pStyle w:val="12"/>
              <w:widowControl/>
              <w:numPr>
                <w:ilvl w:val="0"/>
                <w:numId w:val="3"/>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网络问题，使用专用工具或者软件进行分析诊断，找到问题，必要时候，要求生产商到场协助解决；</w:t>
            </w:r>
          </w:p>
          <w:p w14:paraId="487A5CEE">
            <w:pPr>
              <w:pStyle w:val="12"/>
              <w:widowControl/>
              <w:numPr>
                <w:ilvl w:val="0"/>
                <w:numId w:val="3"/>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向招标方提交问题调查报告，提供防止再次发生同类故障的措施和办法。</w:t>
            </w:r>
          </w:p>
        </w:tc>
      </w:tr>
      <w:tr w14:paraId="68FA3B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110C7D02">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三级故障</w:t>
            </w:r>
          </w:p>
        </w:tc>
        <w:tc>
          <w:tcPr>
            <w:tcW w:w="2203" w:type="dxa"/>
            <w:vAlign w:val="center"/>
          </w:tcPr>
          <w:p w14:paraId="27247604">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技术服务负责人</w:t>
            </w:r>
          </w:p>
          <w:p w14:paraId="3CD04B73">
            <w:pPr>
              <w:pStyle w:val="12"/>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技术服务工程师</w:t>
            </w:r>
          </w:p>
        </w:tc>
        <w:tc>
          <w:tcPr>
            <w:tcW w:w="5492" w:type="dxa"/>
            <w:vAlign w:val="center"/>
          </w:tcPr>
          <w:p w14:paraId="1DEB4602">
            <w:pPr>
              <w:pStyle w:val="12"/>
              <w:widowControl/>
              <w:numPr>
                <w:ilvl w:val="0"/>
                <w:numId w:val="4"/>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电话支持解决；无法远程解决，进行现场技术服务；</w:t>
            </w:r>
          </w:p>
          <w:p w14:paraId="65E97C49">
            <w:pPr>
              <w:pStyle w:val="12"/>
              <w:widowControl/>
              <w:numPr>
                <w:ilvl w:val="0"/>
                <w:numId w:val="4"/>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停运出现故障的相关设备，进行隔离，在维修模式下或者接入调试系统诊断问题，找到问题并解决问题；</w:t>
            </w:r>
          </w:p>
          <w:p w14:paraId="4951FA40">
            <w:pPr>
              <w:pStyle w:val="12"/>
              <w:widowControl/>
              <w:numPr>
                <w:ilvl w:val="0"/>
                <w:numId w:val="4"/>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向招标方提交问题调查报告，提供防止再次发生同类故障的措施和办法。</w:t>
            </w:r>
          </w:p>
        </w:tc>
      </w:tr>
      <w:tr w14:paraId="7B21B5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9" w:hRule="atLeast"/>
          <w:jc w:val="center"/>
        </w:trPr>
        <w:tc>
          <w:tcPr>
            <w:tcW w:w="1218" w:type="dxa"/>
            <w:vAlign w:val="center"/>
          </w:tcPr>
          <w:p w14:paraId="62BBE8BC">
            <w:pPr>
              <w:pStyle w:val="13"/>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四级故障</w:t>
            </w:r>
          </w:p>
        </w:tc>
        <w:tc>
          <w:tcPr>
            <w:tcW w:w="2203" w:type="dxa"/>
            <w:vAlign w:val="center"/>
          </w:tcPr>
          <w:p w14:paraId="5DDC5C85">
            <w:pPr>
              <w:pStyle w:val="13"/>
              <w:tabs>
                <w:tab w:val="left" w:pos="567"/>
              </w:tabs>
              <w:kinsoku/>
              <w:wordWrap/>
              <w:overflowPunct/>
              <w:topLinePunct w:val="0"/>
              <w:bidi w:val="0"/>
              <w:spacing w:beforeLines="0" w:afterLines="0"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技术服务工程师</w:t>
            </w:r>
          </w:p>
        </w:tc>
        <w:tc>
          <w:tcPr>
            <w:tcW w:w="5492" w:type="dxa"/>
            <w:vAlign w:val="center"/>
          </w:tcPr>
          <w:p w14:paraId="69D64D8E">
            <w:pPr>
              <w:pStyle w:val="12"/>
              <w:widowControl/>
              <w:numPr>
                <w:ilvl w:val="0"/>
                <w:numId w:val="5"/>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电话支持解决；无法远程解决，进行现场技术服务；</w:t>
            </w:r>
          </w:p>
          <w:p w14:paraId="5D6A285C">
            <w:pPr>
              <w:pStyle w:val="12"/>
              <w:widowControl/>
              <w:numPr>
                <w:ilvl w:val="0"/>
                <w:numId w:val="5"/>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现场解决问题；</w:t>
            </w:r>
          </w:p>
          <w:p w14:paraId="4C9B4137">
            <w:pPr>
              <w:pStyle w:val="12"/>
              <w:widowControl/>
              <w:numPr>
                <w:ilvl w:val="0"/>
                <w:numId w:val="5"/>
              </w:numPr>
              <w:tabs>
                <w:tab w:val="left" w:pos="567"/>
              </w:tabs>
              <w:kinsoku/>
              <w:wordWrap/>
              <w:overflowPunct/>
              <w:topLinePunct w:val="0"/>
              <w:bidi w:val="0"/>
              <w:adjustRightInd/>
              <w:snapToGrid/>
              <w:spacing w:beforeLines="0" w:afterLines="0" w:line="300" w:lineRule="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记录问题原因、解决方法、时间、负责人等，供查询使用。</w:t>
            </w:r>
          </w:p>
        </w:tc>
      </w:tr>
    </w:tbl>
    <w:p w14:paraId="572E2D71">
      <w:pPr>
        <w:pStyle w:val="14"/>
        <w:tabs>
          <w:tab w:val="left" w:pos="567"/>
        </w:tabs>
        <w:kinsoku/>
        <w:wordWrap/>
        <w:overflowPunct/>
        <w:topLinePunct w:val="0"/>
        <w:bidi w:val="0"/>
        <w:spacing w:line="300" w:lineRule="auto"/>
        <w:ind w:firstLine="48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发现故障后，由故障响应人组织和监控事故处理的过程；调度内部资源；保持与客户的沟通和联系及密切配合；协调其他必需的外部支持。并将在故障处理过程中，注意下列事项：</w:t>
      </w:r>
    </w:p>
    <w:p w14:paraId="21923779">
      <w:pPr>
        <w:pStyle w:val="15"/>
        <w:numPr>
          <w:ilvl w:val="0"/>
          <w:numId w:val="6"/>
        </w:numPr>
        <w:tabs>
          <w:tab w:val="left" w:pos="567"/>
        </w:tabs>
        <w:kinsoku/>
        <w:wordWrap/>
        <w:overflowPunct/>
        <w:topLinePunct w:val="0"/>
        <w:bidi w:val="0"/>
        <w:spacing w:before="0" w:after="0" w:line="300" w:lineRule="auto"/>
        <w:ind w:left="0" w:firstLine="480"/>
        <w:jc w:val="left"/>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我方若发现并希望对系统不符合质量要求之处进行整改和修复，将立即将其修复申请报告提交招标方，指出不合格之处和采取的修复方法。</w:t>
      </w:r>
    </w:p>
    <w:p w14:paraId="0166D442">
      <w:pPr>
        <w:pStyle w:val="15"/>
        <w:numPr>
          <w:ilvl w:val="0"/>
          <w:numId w:val="6"/>
        </w:numPr>
        <w:tabs>
          <w:tab w:val="left" w:pos="567"/>
        </w:tabs>
        <w:kinsoku/>
        <w:wordWrap/>
        <w:overflowPunct/>
        <w:topLinePunct w:val="0"/>
        <w:bidi w:val="0"/>
        <w:spacing w:before="0" w:after="0" w:line="300" w:lineRule="auto"/>
        <w:ind w:left="0" w:firstLine="480"/>
        <w:jc w:val="left"/>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如果招标方未对我方按规定所提交的报告发出不合格通知，我方将立即查询此事，在接到通知14天内，提交招标方确认其整改措施和采取这些措施的理由。</w:t>
      </w:r>
    </w:p>
    <w:p w14:paraId="60E99D66">
      <w:pPr>
        <w:pStyle w:val="15"/>
        <w:numPr>
          <w:ilvl w:val="0"/>
          <w:numId w:val="6"/>
        </w:numPr>
        <w:tabs>
          <w:tab w:val="left" w:pos="567"/>
        </w:tabs>
        <w:kinsoku/>
        <w:wordWrap/>
        <w:overflowPunct/>
        <w:topLinePunct w:val="0"/>
        <w:bidi w:val="0"/>
        <w:spacing w:before="0" w:after="0" w:line="300" w:lineRule="auto"/>
        <w:ind w:left="0" w:firstLine="480"/>
        <w:jc w:val="left"/>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保证故障清查和排除；</w:t>
      </w:r>
    </w:p>
    <w:p w14:paraId="7D483F73">
      <w:pPr>
        <w:pStyle w:val="15"/>
        <w:numPr>
          <w:ilvl w:val="0"/>
          <w:numId w:val="6"/>
        </w:numPr>
        <w:tabs>
          <w:tab w:val="left" w:pos="567"/>
        </w:tabs>
        <w:kinsoku/>
        <w:wordWrap/>
        <w:overflowPunct/>
        <w:topLinePunct w:val="0"/>
        <w:bidi w:val="0"/>
        <w:spacing w:before="0" w:after="0" w:line="300" w:lineRule="auto"/>
        <w:ind w:left="0" w:firstLine="480"/>
        <w:jc w:val="left"/>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保证更换出现异常而不符合本技术要求或设计文件要求的部件；</w:t>
      </w:r>
    </w:p>
    <w:p w14:paraId="57B70B92">
      <w:pPr>
        <w:pStyle w:val="15"/>
        <w:numPr>
          <w:ilvl w:val="0"/>
          <w:numId w:val="6"/>
        </w:numPr>
        <w:tabs>
          <w:tab w:val="left" w:pos="567"/>
        </w:tabs>
        <w:kinsoku/>
        <w:wordWrap/>
        <w:overflowPunct/>
        <w:topLinePunct w:val="0"/>
        <w:bidi w:val="0"/>
        <w:spacing w:before="0" w:after="0" w:line="300" w:lineRule="auto"/>
        <w:ind w:left="0" w:firstLine="480"/>
        <w:jc w:val="left"/>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如果发现的异常问题反复出现或其后果影响到安全，则进行调查研究。研究的结果可以导致小或大的整改以使其符合要求；</w:t>
      </w:r>
    </w:p>
    <w:p w14:paraId="2443D65A">
      <w:pPr>
        <w:pStyle w:val="15"/>
        <w:numPr>
          <w:ilvl w:val="0"/>
          <w:numId w:val="6"/>
        </w:numPr>
        <w:tabs>
          <w:tab w:val="left" w:pos="567"/>
        </w:tabs>
        <w:kinsoku/>
        <w:wordWrap/>
        <w:overflowPunct/>
        <w:topLinePunct w:val="0"/>
        <w:bidi w:val="0"/>
        <w:spacing w:before="0" w:after="0" w:line="300" w:lineRule="auto"/>
        <w:ind w:left="0" w:firstLine="480"/>
        <w:jc w:val="left"/>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提供用于丰富数据库的资料，以便随时了解系统的状态。</w:t>
      </w:r>
    </w:p>
    <w:p w14:paraId="59830D44">
      <w:pPr>
        <w:pStyle w:val="15"/>
        <w:numPr>
          <w:ilvl w:val="0"/>
          <w:numId w:val="6"/>
        </w:numPr>
        <w:tabs>
          <w:tab w:val="left" w:pos="567"/>
        </w:tabs>
        <w:kinsoku/>
        <w:wordWrap/>
        <w:overflowPunct/>
        <w:topLinePunct w:val="0"/>
        <w:bidi w:val="0"/>
        <w:spacing w:before="0" w:after="0" w:line="300" w:lineRule="auto"/>
        <w:ind w:left="0" w:firstLine="480"/>
        <w:jc w:val="left"/>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如果发现的故障原因属于下述情况，我方将替换相同功能的全部零部件，且费用由我方负担∶</w:t>
      </w:r>
    </w:p>
    <w:p w14:paraId="13A0C9FD">
      <w:pPr>
        <w:pStyle w:val="15"/>
        <w:tabs>
          <w:tab w:val="left" w:pos="567"/>
        </w:tabs>
        <w:kinsoku/>
        <w:wordWrap/>
        <w:overflowPunct/>
        <w:topLinePunct w:val="0"/>
        <w:bidi w:val="0"/>
        <w:spacing w:before="0" w:after="0" w:line="300" w:lineRule="auto"/>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1）材料质量问题；</w:t>
      </w:r>
    </w:p>
    <w:p w14:paraId="1A71B20C">
      <w:pPr>
        <w:pStyle w:val="15"/>
        <w:tabs>
          <w:tab w:val="left" w:pos="567"/>
        </w:tabs>
        <w:kinsoku/>
        <w:wordWrap/>
        <w:overflowPunct/>
        <w:topLinePunct w:val="0"/>
        <w:bidi w:val="0"/>
        <w:spacing w:before="0" w:after="0" w:line="300" w:lineRule="auto"/>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2）零部件设计和生产中出现的严重缺陷；</w:t>
      </w:r>
    </w:p>
    <w:p w14:paraId="16C8469C">
      <w:pPr>
        <w:pStyle w:val="15"/>
        <w:tabs>
          <w:tab w:val="left" w:pos="567"/>
        </w:tabs>
        <w:kinsoku/>
        <w:wordWrap/>
        <w:overflowPunct/>
        <w:topLinePunct w:val="0"/>
        <w:bidi w:val="0"/>
        <w:spacing w:before="0" w:after="0" w:line="300" w:lineRule="auto"/>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3）对某些零部件（最小可更换单元）的更换和修理超过同类产品在同类型号零部件中的更换率（5%）。</w:t>
      </w:r>
    </w:p>
    <w:p w14:paraId="1C4996C1">
      <w:pPr>
        <w:pStyle w:val="15"/>
        <w:numPr>
          <w:ilvl w:val="0"/>
          <w:numId w:val="7"/>
        </w:numPr>
        <w:tabs>
          <w:tab w:val="left" w:pos="567"/>
        </w:tabs>
        <w:kinsoku/>
        <w:wordWrap/>
        <w:overflowPunct/>
        <w:topLinePunct w:val="0"/>
        <w:bidi w:val="0"/>
        <w:spacing w:before="0" w:after="0" w:line="300" w:lineRule="auto"/>
        <w:ind w:left="0" w:firstLine="48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缺陷责任期内的义务包括对有缺陷零部件进行调查研究、拆卸、更换和重新安装。包括我方人员出差费用、包装和运输费用以及进行修复和更换所需的工具费用。</w:t>
      </w:r>
    </w:p>
    <w:p w14:paraId="4E2939E9">
      <w:pPr>
        <w:pStyle w:val="15"/>
        <w:numPr>
          <w:ilvl w:val="0"/>
          <w:numId w:val="7"/>
        </w:numPr>
        <w:tabs>
          <w:tab w:val="left" w:pos="567"/>
        </w:tabs>
        <w:kinsoku/>
        <w:wordWrap/>
        <w:overflowPunct/>
        <w:topLinePunct w:val="0"/>
        <w:bidi w:val="0"/>
        <w:spacing w:before="0" w:after="0" w:line="300" w:lineRule="auto"/>
        <w:ind w:left="0" w:firstLine="48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如果故障清查的原因为软件故障时，我方将进行软件更换。</w:t>
      </w:r>
    </w:p>
    <w:p w14:paraId="1E9F8AA5">
      <w:pPr>
        <w:pStyle w:val="15"/>
        <w:numPr>
          <w:ilvl w:val="0"/>
          <w:numId w:val="7"/>
        </w:numPr>
        <w:tabs>
          <w:tab w:val="left" w:pos="567"/>
        </w:tabs>
        <w:kinsoku/>
        <w:wordWrap/>
        <w:overflowPunct/>
        <w:topLinePunct w:val="0"/>
        <w:bidi w:val="0"/>
        <w:spacing w:before="0" w:after="0" w:line="300" w:lineRule="auto"/>
        <w:ind w:left="0" w:firstLine="48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缺陷责任期内，如果发生系统运行故障并导致全线或部分停运，我方将赔偿招标方因停运给业主造成的损失。停运的赔偿额，按故障运营前1周的日均运营收入为基础进行计算。</w:t>
      </w:r>
    </w:p>
    <w:p w14:paraId="69969E1A">
      <w:pPr>
        <w:pStyle w:val="15"/>
        <w:numPr>
          <w:ilvl w:val="0"/>
          <w:numId w:val="7"/>
        </w:numPr>
        <w:tabs>
          <w:tab w:val="left" w:pos="567"/>
        </w:tabs>
        <w:kinsoku/>
        <w:wordWrap/>
        <w:overflowPunct/>
        <w:topLinePunct w:val="0"/>
        <w:bidi w:val="0"/>
        <w:spacing w:before="0" w:after="0" w:line="300" w:lineRule="auto"/>
        <w:ind w:left="0" w:firstLine="48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接到故障报告后，详细了解故障现象和系统状态，分析可能的原因（换版升级、异常操作、软件缺陷、硬件故障等）；</w:t>
      </w:r>
    </w:p>
    <w:p w14:paraId="523C3432">
      <w:pPr>
        <w:pStyle w:val="15"/>
        <w:numPr>
          <w:ilvl w:val="0"/>
          <w:numId w:val="7"/>
        </w:numPr>
        <w:tabs>
          <w:tab w:val="left" w:pos="567"/>
        </w:tabs>
        <w:kinsoku/>
        <w:wordWrap/>
        <w:overflowPunct/>
        <w:topLinePunct w:val="0"/>
        <w:bidi w:val="0"/>
        <w:spacing w:before="0" w:after="0" w:line="300" w:lineRule="auto"/>
        <w:ind w:left="0" w:firstLine="48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处理故障前，最大可能地保护并记录事故发生时的现场信息，以便故障原因的分析调查；</w:t>
      </w:r>
    </w:p>
    <w:p w14:paraId="6AAB3974">
      <w:pPr>
        <w:pStyle w:val="15"/>
        <w:numPr>
          <w:ilvl w:val="0"/>
          <w:numId w:val="7"/>
        </w:numPr>
        <w:tabs>
          <w:tab w:val="left" w:pos="567"/>
        </w:tabs>
        <w:kinsoku/>
        <w:wordWrap/>
        <w:overflowPunct/>
        <w:topLinePunct w:val="0"/>
        <w:bidi w:val="0"/>
        <w:spacing w:before="0" w:after="0" w:line="300" w:lineRule="auto"/>
        <w:ind w:left="0" w:firstLine="48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与招标方方确认先恢复系统还是先查清原因；</w:t>
      </w:r>
    </w:p>
    <w:p w14:paraId="45C8086F">
      <w:pPr>
        <w:pStyle w:val="15"/>
        <w:numPr>
          <w:ilvl w:val="0"/>
          <w:numId w:val="7"/>
        </w:numPr>
        <w:tabs>
          <w:tab w:val="left" w:pos="567"/>
        </w:tabs>
        <w:kinsoku/>
        <w:wordWrap/>
        <w:overflowPunct/>
        <w:topLinePunct w:val="0"/>
        <w:bidi w:val="0"/>
        <w:spacing w:before="0" w:after="0" w:line="300" w:lineRule="auto"/>
        <w:ind w:left="0" w:firstLine="48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处理故障时，分清有关操作的责任范围（对非我方提供的产品，以及涉及招标方方安全权限规定的数据，须得到招标方方的正式授权方可由我方人员操作）；</w:t>
      </w:r>
    </w:p>
    <w:p w14:paraId="25F85661">
      <w:pPr>
        <w:pStyle w:val="15"/>
        <w:numPr>
          <w:ilvl w:val="0"/>
          <w:numId w:val="7"/>
        </w:numPr>
        <w:tabs>
          <w:tab w:val="left" w:pos="567"/>
        </w:tabs>
        <w:kinsoku/>
        <w:wordWrap/>
        <w:overflowPunct/>
        <w:topLinePunct w:val="0"/>
        <w:bidi w:val="0"/>
        <w:spacing w:before="0" w:after="0" w:line="300" w:lineRule="auto"/>
        <w:ind w:left="0" w:firstLine="48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处理故障时，涉及业务操作及运行的任何变化，须征得招标方的认可；</w:t>
      </w:r>
    </w:p>
    <w:p w14:paraId="431688BA">
      <w:pPr>
        <w:pStyle w:val="15"/>
        <w:numPr>
          <w:ilvl w:val="0"/>
          <w:numId w:val="7"/>
        </w:numPr>
        <w:tabs>
          <w:tab w:val="left" w:pos="567"/>
        </w:tabs>
        <w:kinsoku/>
        <w:wordWrap/>
        <w:overflowPunct/>
        <w:topLinePunct w:val="0"/>
        <w:bidi w:val="0"/>
        <w:spacing w:before="0" w:after="0" w:line="300" w:lineRule="auto"/>
        <w:ind w:left="0" w:firstLine="48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处理故障时，严格遵守质量流程和工程规范，严防因处理不当而引发新的故障，或埋下隐患。</w:t>
      </w:r>
    </w:p>
    <w:p w14:paraId="528817F8">
      <w:pPr>
        <w:pStyle w:val="14"/>
        <w:numPr>
          <w:ilvl w:val="0"/>
          <w:numId w:val="7"/>
        </w:numPr>
        <w:tabs>
          <w:tab w:val="left" w:pos="567"/>
        </w:tabs>
        <w:kinsoku/>
        <w:wordWrap/>
        <w:overflowPunct/>
        <w:topLinePunct w:val="0"/>
        <w:bidi w:val="0"/>
        <w:spacing w:line="300" w:lineRule="auto"/>
        <w:ind w:left="0" w:firstLine="48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在故障得到妥善处理后一天内，故障响应人负责撰写故障处理报告报送招标方。报告的主要内容包括：</w:t>
      </w:r>
    </w:p>
    <w:p w14:paraId="4A0C5B1C">
      <w:pPr>
        <w:pStyle w:val="15"/>
        <w:numPr>
          <w:ilvl w:val="0"/>
          <w:numId w:val="8"/>
        </w:numPr>
        <w:tabs>
          <w:tab w:val="left" w:pos="567"/>
        </w:tabs>
        <w:kinsoku/>
        <w:wordWrap/>
        <w:overflowPunct/>
        <w:topLinePunct w:val="0"/>
        <w:bidi w:val="0"/>
        <w:spacing w:before="0" w:after="0" w:line="300" w:lineRule="auto"/>
        <w:ind w:firstLine="0" w:firstLineChars="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故障发生的时间和地点；</w:t>
      </w:r>
    </w:p>
    <w:p w14:paraId="57102F17">
      <w:pPr>
        <w:pStyle w:val="15"/>
        <w:numPr>
          <w:ilvl w:val="0"/>
          <w:numId w:val="8"/>
        </w:numPr>
        <w:tabs>
          <w:tab w:val="left" w:pos="567"/>
        </w:tabs>
        <w:kinsoku/>
        <w:wordWrap/>
        <w:overflowPunct/>
        <w:topLinePunct w:val="0"/>
        <w:bidi w:val="0"/>
        <w:spacing w:before="0" w:after="0" w:line="300" w:lineRule="auto"/>
        <w:ind w:firstLine="0" w:firstLineChars="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故障发生的简要经过、主要影响和直接经济损失的最终估计；</w:t>
      </w:r>
    </w:p>
    <w:p w14:paraId="22EB711B">
      <w:pPr>
        <w:pStyle w:val="15"/>
        <w:numPr>
          <w:ilvl w:val="0"/>
          <w:numId w:val="8"/>
        </w:numPr>
        <w:tabs>
          <w:tab w:val="left" w:pos="567"/>
        </w:tabs>
        <w:kinsoku/>
        <w:wordWrap/>
        <w:overflowPunct/>
        <w:topLinePunct w:val="0"/>
        <w:bidi w:val="0"/>
        <w:spacing w:before="0" w:after="0" w:line="300" w:lineRule="auto"/>
        <w:ind w:firstLine="0" w:firstLineChars="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故障发生原因及责任；</w:t>
      </w:r>
    </w:p>
    <w:p w14:paraId="3D5ED3ED">
      <w:pPr>
        <w:pStyle w:val="15"/>
        <w:numPr>
          <w:ilvl w:val="0"/>
          <w:numId w:val="8"/>
        </w:numPr>
        <w:tabs>
          <w:tab w:val="left" w:pos="567"/>
        </w:tabs>
        <w:kinsoku/>
        <w:wordWrap/>
        <w:overflowPunct/>
        <w:topLinePunct w:val="0"/>
        <w:bidi w:val="0"/>
        <w:spacing w:before="0" w:after="0" w:line="300" w:lineRule="auto"/>
        <w:ind w:firstLine="0" w:firstLineChars="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故障发生后采取的应急措施及故障控制情况；</w:t>
      </w:r>
    </w:p>
    <w:p w14:paraId="79F510FF">
      <w:pPr>
        <w:pStyle w:val="15"/>
        <w:numPr>
          <w:ilvl w:val="0"/>
          <w:numId w:val="8"/>
        </w:numPr>
        <w:tabs>
          <w:tab w:val="left" w:pos="567"/>
        </w:tabs>
        <w:kinsoku/>
        <w:wordWrap/>
        <w:overflowPunct/>
        <w:topLinePunct w:val="0"/>
        <w:bidi w:val="0"/>
        <w:spacing w:before="0" w:after="0" w:line="300" w:lineRule="auto"/>
        <w:ind w:firstLine="0" w:firstLineChars="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故障处理过程中客户的反应及相应处理情况；</w:t>
      </w:r>
    </w:p>
    <w:p w14:paraId="499A080A">
      <w:pPr>
        <w:pStyle w:val="15"/>
        <w:numPr>
          <w:ilvl w:val="0"/>
          <w:numId w:val="8"/>
        </w:numPr>
        <w:tabs>
          <w:tab w:val="left" w:pos="567"/>
        </w:tabs>
        <w:kinsoku/>
        <w:wordWrap/>
        <w:overflowPunct/>
        <w:topLinePunct w:val="0"/>
        <w:bidi w:val="0"/>
        <w:spacing w:before="0" w:after="0" w:line="300" w:lineRule="auto"/>
        <w:ind w:firstLine="0" w:firstLineChars="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采取的预防措施；</w:t>
      </w:r>
    </w:p>
    <w:p w14:paraId="353335C9">
      <w:pPr>
        <w:pStyle w:val="15"/>
        <w:numPr>
          <w:ilvl w:val="0"/>
          <w:numId w:val="8"/>
        </w:numPr>
        <w:tabs>
          <w:tab w:val="left" w:pos="567"/>
        </w:tabs>
        <w:kinsoku/>
        <w:wordWrap/>
        <w:overflowPunct/>
        <w:topLinePunct w:val="0"/>
        <w:bidi w:val="0"/>
        <w:spacing w:before="0" w:after="0" w:line="300" w:lineRule="auto"/>
        <w:ind w:firstLine="0" w:firstLineChars="0"/>
        <w:rPr>
          <w:rFonts w:hint="eastAsia" w:ascii="仿宋" w:hAnsi="仿宋" w:eastAsia="仿宋" w:cs="仿宋"/>
          <w:color w:val="000000" w:themeColor="text1"/>
          <w:kern w:val="2"/>
          <w:sz w:val="21"/>
          <w:szCs w:val="21"/>
          <w:highlight w:val="none"/>
          <w14:textFill>
            <w14:solidFill>
              <w14:schemeClr w14:val="tx1"/>
            </w14:solidFill>
          </w14:textFill>
        </w:rPr>
      </w:pPr>
      <w:r>
        <w:rPr>
          <w:rFonts w:hint="eastAsia" w:ascii="仿宋" w:hAnsi="仿宋" w:eastAsia="仿宋" w:cs="仿宋"/>
          <w:color w:val="000000" w:themeColor="text1"/>
          <w:kern w:val="2"/>
          <w:sz w:val="21"/>
          <w:szCs w:val="21"/>
          <w:highlight w:val="none"/>
          <w14:textFill>
            <w14:solidFill>
              <w14:schemeClr w14:val="tx1"/>
            </w14:solidFill>
          </w14:textFill>
        </w:rPr>
        <w:t>对有关责任人的处理意见；</w:t>
      </w:r>
    </w:p>
    <w:p w14:paraId="08A324CF">
      <w:pPr>
        <w:pStyle w:val="3"/>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97" w:name="_Toc364089429"/>
      <w:bookmarkStart w:id="98" w:name="_Toc21397"/>
      <w:bookmarkStart w:id="99" w:name="_Toc5281090"/>
      <w:bookmarkStart w:id="100" w:name="_Toc18499"/>
      <w:bookmarkStart w:id="101" w:name="_Toc6840920"/>
      <w:bookmarkStart w:id="102" w:name="_Toc21319"/>
      <w:bookmarkStart w:id="103" w:name="_Toc18278"/>
      <w:bookmarkStart w:id="104" w:name="_Toc366082377"/>
      <w:bookmarkStart w:id="105" w:name="_Toc3395"/>
      <w:bookmarkStart w:id="106" w:name="_Toc4751275"/>
      <w:r>
        <w:rPr>
          <w:rFonts w:hint="eastAsia" w:ascii="仿宋" w:hAnsi="仿宋" w:eastAsia="仿宋" w:cs="仿宋"/>
          <w:color w:val="000000" w:themeColor="text1"/>
          <w:sz w:val="21"/>
          <w:szCs w:val="21"/>
          <w:highlight w:val="none"/>
          <w14:textFill>
            <w14:solidFill>
              <w14:schemeClr w14:val="tx1"/>
            </w14:solidFill>
          </w14:textFill>
        </w:rPr>
        <w:t>九、备品备件服务</w:t>
      </w:r>
      <w:bookmarkEnd w:id="97"/>
      <w:bookmarkEnd w:id="98"/>
      <w:bookmarkEnd w:id="99"/>
      <w:bookmarkEnd w:id="100"/>
      <w:bookmarkEnd w:id="101"/>
      <w:bookmarkEnd w:id="102"/>
      <w:bookmarkEnd w:id="103"/>
      <w:bookmarkEnd w:id="104"/>
      <w:bookmarkEnd w:id="105"/>
      <w:bookmarkEnd w:id="106"/>
    </w:p>
    <w:p w14:paraId="75C7C2EE">
      <w:pPr>
        <w:pStyle w:val="14"/>
        <w:tabs>
          <w:tab w:val="left" w:pos="567"/>
        </w:tabs>
        <w:kinsoku/>
        <w:wordWrap/>
        <w:overflowPunct/>
        <w:topLinePunct w:val="0"/>
        <w:bidi w:val="0"/>
        <w:spacing w:line="300" w:lineRule="auto"/>
        <w:ind w:firstLine="48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充分的备品备件供应是保障系统稳定运营的必要条件，是保障系统出现故障时能够在短时间内恢复运行的物质基础。良好的系统设备、部件及备件管理是提升我方服务质量的前提。因此备品备件的保障非常重要。</w:t>
      </w:r>
    </w:p>
    <w:p w14:paraId="0B8E2B56">
      <w:pPr>
        <w:pStyle w:val="14"/>
        <w:tabs>
          <w:tab w:val="left" w:pos="567"/>
        </w:tabs>
        <w:kinsoku/>
        <w:wordWrap/>
        <w:overflowPunct/>
        <w:topLinePunct w:val="0"/>
        <w:bidi w:val="0"/>
        <w:spacing w:line="300" w:lineRule="auto"/>
        <w:ind w:firstLine="48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我方在备品备件仓库存储充足的备品备件，确保有足够的备品备件，并对备品备件进行必要的维护检查和保养，保证备品备件的性能可靠，随时可以投入应用。</w:t>
      </w:r>
    </w:p>
    <w:p w14:paraId="682133EB">
      <w:pPr>
        <w:pStyle w:val="3"/>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107" w:name="_Toc5281091"/>
      <w:bookmarkStart w:id="108" w:name="_Toc6840921"/>
      <w:bookmarkStart w:id="109" w:name="_Toc28680"/>
      <w:bookmarkStart w:id="110" w:name="_Toc26056"/>
      <w:bookmarkStart w:id="111" w:name="_Toc16600"/>
      <w:bookmarkStart w:id="112" w:name="_Toc4751276"/>
      <w:bookmarkStart w:id="113" w:name="_Toc7749"/>
      <w:bookmarkStart w:id="114" w:name="_Toc19162"/>
      <w:r>
        <w:rPr>
          <w:rFonts w:hint="eastAsia" w:ascii="仿宋" w:hAnsi="仿宋" w:eastAsia="仿宋" w:cs="仿宋"/>
          <w:color w:val="000000" w:themeColor="text1"/>
          <w:sz w:val="21"/>
          <w:szCs w:val="21"/>
          <w:highlight w:val="none"/>
          <w14:textFill>
            <w14:solidFill>
              <w14:schemeClr w14:val="tx1"/>
            </w14:solidFill>
          </w14:textFill>
        </w:rPr>
        <w:t>十、质保期后的技术服务</w:t>
      </w:r>
      <w:bookmarkEnd w:id="107"/>
      <w:bookmarkEnd w:id="108"/>
      <w:bookmarkEnd w:id="109"/>
      <w:bookmarkEnd w:id="110"/>
      <w:bookmarkEnd w:id="111"/>
      <w:bookmarkEnd w:id="112"/>
      <w:bookmarkEnd w:id="113"/>
      <w:bookmarkEnd w:id="114"/>
    </w:p>
    <w:p w14:paraId="5CD1A89E">
      <w:pPr>
        <w:kinsoku/>
        <w:wordWrap/>
        <w:overflowPunct/>
        <w:topLinePunct w:val="0"/>
        <w:bidi w:val="0"/>
        <w:spacing w:line="30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质保期后技术服务</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843"/>
        <w:gridCol w:w="5415"/>
        <w:gridCol w:w="1172"/>
      </w:tblGrid>
      <w:tr w14:paraId="684B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9326" w:type="dxa"/>
            <w:gridSpan w:val="4"/>
            <w:vAlign w:val="center"/>
          </w:tcPr>
          <w:p w14:paraId="723EA4F7">
            <w:pPr>
              <w:widowControl/>
              <w:tabs>
                <w:tab w:val="left" w:pos="567"/>
              </w:tabs>
              <w:kinsoku/>
              <w:wordWrap/>
              <w:overflowPunct/>
              <w:topLinePunct w:val="0"/>
              <w:bidi w:val="0"/>
              <w:spacing w:line="300" w:lineRule="auto"/>
              <w:jc w:val="center"/>
              <w:rPr>
                <w:rFonts w:hint="eastAsia" w:ascii="仿宋" w:hAnsi="仿宋" w:eastAsia="仿宋" w:cs="仿宋"/>
                <w:b/>
                <w:bCs/>
                <w:color w:val="000000" w:themeColor="text1"/>
                <w:kern w:val="0"/>
                <w:sz w:val="21"/>
                <w:szCs w:val="21"/>
                <w:highlight w:val="none"/>
                <w14:textFill>
                  <w14:solidFill>
                    <w14:schemeClr w14:val="tx1"/>
                  </w14:solidFill>
                </w14:textFill>
              </w:rPr>
            </w:pPr>
            <w:r>
              <w:rPr>
                <w:rFonts w:hint="eastAsia" w:ascii="仿宋" w:hAnsi="仿宋" w:eastAsia="仿宋" w:cs="仿宋"/>
                <w:b/>
                <w:bCs/>
                <w:color w:val="000000" w:themeColor="text1"/>
                <w:kern w:val="0"/>
                <w:sz w:val="21"/>
                <w:szCs w:val="21"/>
                <w:highlight w:val="none"/>
                <w14:textFill>
                  <w14:solidFill>
                    <w14:schemeClr w14:val="tx1"/>
                  </w14:solidFill>
                </w14:textFill>
              </w:rPr>
              <w:t>质保期技术服务清单</w:t>
            </w:r>
          </w:p>
        </w:tc>
      </w:tr>
      <w:tr w14:paraId="1C83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896" w:type="dxa"/>
            <w:vAlign w:val="center"/>
          </w:tcPr>
          <w:p w14:paraId="33FA0110">
            <w:pPr>
              <w:widowControl/>
              <w:tabs>
                <w:tab w:val="left" w:pos="567"/>
              </w:tabs>
              <w:kinsoku/>
              <w:wordWrap/>
              <w:overflowPunct/>
              <w:topLinePunct w:val="0"/>
              <w:bidi w:val="0"/>
              <w:spacing w:line="300" w:lineRule="auto"/>
              <w:jc w:val="center"/>
              <w:rPr>
                <w:rFonts w:hint="eastAsia" w:ascii="仿宋" w:hAnsi="仿宋" w:eastAsia="仿宋" w:cs="仿宋"/>
                <w:b/>
                <w:color w:val="000000" w:themeColor="text1"/>
                <w:kern w:val="0"/>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14:textFill>
                  <w14:solidFill>
                    <w14:schemeClr w14:val="tx1"/>
                  </w14:solidFill>
                </w14:textFill>
              </w:rPr>
              <w:t>序号</w:t>
            </w:r>
          </w:p>
        </w:tc>
        <w:tc>
          <w:tcPr>
            <w:tcW w:w="1843" w:type="dxa"/>
            <w:vAlign w:val="center"/>
          </w:tcPr>
          <w:p w14:paraId="19078A99">
            <w:pPr>
              <w:widowControl/>
              <w:tabs>
                <w:tab w:val="left" w:pos="567"/>
              </w:tabs>
              <w:kinsoku/>
              <w:wordWrap/>
              <w:overflowPunct/>
              <w:topLinePunct w:val="0"/>
              <w:bidi w:val="0"/>
              <w:spacing w:line="300" w:lineRule="auto"/>
              <w:jc w:val="center"/>
              <w:rPr>
                <w:rFonts w:hint="eastAsia" w:ascii="仿宋" w:hAnsi="仿宋" w:eastAsia="仿宋" w:cs="仿宋"/>
                <w:b/>
                <w:color w:val="000000" w:themeColor="text1"/>
                <w:kern w:val="0"/>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14:textFill>
                  <w14:solidFill>
                    <w14:schemeClr w14:val="tx1"/>
                  </w14:solidFill>
                </w14:textFill>
              </w:rPr>
              <w:t>服务项目</w:t>
            </w:r>
          </w:p>
        </w:tc>
        <w:tc>
          <w:tcPr>
            <w:tcW w:w="5415" w:type="dxa"/>
            <w:vAlign w:val="center"/>
          </w:tcPr>
          <w:p w14:paraId="515CC382">
            <w:pPr>
              <w:widowControl/>
              <w:tabs>
                <w:tab w:val="left" w:pos="567"/>
              </w:tabs>
              <w:kinsoku/>
              <w:wordWrap/>
              <w:overflowPunct/>
              <w:topLinePunct w:val="0"/>
              <w:bidi w:val="0"/>
              <w:spacing w:line="300" w:lineRule="auto"/>
              <w:jc w:val="center"/>
              <w:rPr>
                <w:rFonts w:hint="eastAsia" w:ascii="仿宋" w:hAnsi="仿宋" w:eastAsia="仿宋" w:cs="仿宋"/>
                <w:b/>
                <w:color w:val="000000" w:themeColor="text1"/>
                <w:kern w:val="0"/>
                <w:sz w:val="21"/>
                <w:szCs w:val="21"/>
                <w:highlight w:val="none"/>
                <w14:textFill>
                  <w14:solidFill>
                    <w14:schemeClr w14:val="tx1"/>
                  </w14:solidFill>
                </w14:textFill>
              </w:rPr>
            </w:pPr>
            <w:r>
              <w:rPr>
                <w:rFonts w:hint="eastAsia" w:ascii="仿宋" w:hAnsi="仿宋" w:eastAsia="仿宋" w:cs="仿宋"/>
                <w:b/>
                <w:color w:val="000000" w:themeColor="text1"/>
                <w:kern w:val="0"/>
                <w:sz w:val="21"/>
                <w:szCs w:val="21"/>
                <w:highlight w:val="none"/>
                <w14:textFill>
                  <w14:solidFill>
                    <w14:schemeClr w14:val="tx1"/>
                  </w14:solidFill>
                </w14:textFill>
              </w:rPr>
              <w:t>计算标准</w:t>
            </w:r>
          </w:p>
        </w:tc>
        <w:tc>
          <w:tcPr>
            <w:tcW w:w="1172" w:type="dxa"/>
            <w:vAlign w:val="center"/>
          </w:tcPr>
          <w:p w14:paraId="6EC52758">
            <w:pPr>
              <w:widowControl/>
              <w:tabs>
                <w:tab w:val="left" w:pos="567"/>
              </w:tabs>
              <w:kinsoku/>
              <w:wordWrap/>
              <w:overflowPunct/>
              <w:topLinePunct w:val="0"/>
              <w:bidi w:val="0"/>
              <w:spacing w:line="300" w:lineRule="auto"/>
              <w:jc w:val="center"/>
              <w:rPr>
                <w:rFonts w:hint="eastAsia" w:ascii="仿宋" w:hAnsi="仿宋" w:eastAsia="仿宋" w:cs="仿宋"/>
                <w:b/>
                <w:bCs/>
                <w:color w:val="000000" w:themeColor="text1"/>
                <w:kern w:val="0"/>
                <w:sz w:val="21"/>
                <w:szCs w:val="21"/>
                <w:highlight w:val="none"/>
                <w14:textFill>
                  <w14:solidFill>
                    <w14:schemeClr w14:val="tx1"/>
                  </w14:solidFill>
                </w14:textFill>
              </w:rPr>
            </w:pPr>
            <w:r>
              <w:rPr>
                <w:rFonts w:hint="eastAsia" w:ascii="仿宋" w:hAnsi="仿宋" w:eastAsia="仿宋" w:cs="仿宋"/>
                <w:b/>
                <w:bCs/>
                <w:color w:val="000000" w:themeColor="text1"/>
                <w:kern w:val="0"/>
                <w:sz w:val="21"/>
                <w:szCs w:val="21"/>
                <w:highlight w:val="none"/>
                <w14:textFill>
                  <w14:solidFill>
                    <w14:schemeClr w14:val="tx1"/>
                  </w14:solidFill>
                </w14:textFill>
              </w:rPr>
              <w:t>备注</w:t>
            </w:r>
          </w:p>
        </w:tc>
      </w:tr>
      <w:tr w14:paraId="3AC9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96" w:type="dxa"/>
            <w:vAlign w:val="center"/>
          </w:tcPr>
          <w:p w14:paraId="7287A42F">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w:t>
            </w:r>
          </w:p>
        </w:tc>
        <w:tc>
          <w:tcPr>
            <w:tcW w:w="1843" w:type="dxa"/>
            <w:vAlign w:val="center"/>
          </w:tcPr>
          <w:p w14:paraId="58B28307">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远程支持服务</w:t>
            </w:r>
          </w:p>
        </w:tc>
        <w:tc>
          <w:tcPr>
            <w:tcW w:w="5415" w:type="dxa"/>
            <w:vAlign w:val="center"/>
          </w:tcPr>
          <w:p w14:paraId="5359895F">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restart"/>
            <w:vAlign w:val="center"/>
          </w:tcPr>
          <w:p w14:paraId="2CF7D595">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质保期内技术服务免费</w:t>
            </w:r>
          </w:p>
        </w:tc>
      </w:tr>
      <w:tr w14:paraId="1AC4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60595EF5">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w:t>
            </w:r>
          </w:p>
        </w:tc>
        <w:tc>
          <w:tcPr>
            <w:tcW w:w="1843" w:type="dxa"/>
            <w:vAlign w:val="center"/>
          </w:tcPr>
          <w:p w14:paraId="5F9CB4BE">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咨询和电话支持服务7×24小时</w:t>
            </w:r>
          </w:p>
        </w:tc>
        <w:tc>
          <w:tcPr>
            <w:tcW w:w="5415" w:type="dxa"/>
            <w:vAlign w:val="center"/>
          </w:tcPr>
          <w:p w14:paraId="19CED1C4">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continue"/>
            <w:vAlign w:val="center"/>
          </w:tcPr>
          <w:p w14:paraId="2E51FF88">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58CE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0A3EEEB7">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3</w:t>
            </w:r>
          </w:p>
        </w:tc>
        <w:tc>
          <w:tcPr>
            <w:tcW w:w="1843" w:type="dxa"/>
            <w:vAlign w:val="center"/>
          </w:tcPr>
          <w:p w14:paraId="2B588998">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现场支持服务</w:t>
            </w:r>
          </w:p>
        </w:tc>
        <w:tc>
          <w:tcPr>
            <w:tcW w:w="5415" w:type="dxa"/>
            <w:vAlign w:val="center"/>
          </w:tcPr>
          <w:p w14:paraId="7EA35F03">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我公司按项目需求派专业工程师进行技术支持服务</w:t>
            </w:r>
          </w:p>
        </w:tc>
        <w:tc>
          <w:tcPr>
            <w:tcW w:w="1172" w:type="dxa"/>
            <w:vMerge w:val="continue"/>
            <w:vAlign w:val="center"/>
          </w:tcPr>
          <w:p w14:paraId="5C80EB47">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0894A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3717ED6">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4</w:t>
            </w:r>
          </w:p>
        </w:tc>
        <w:tc>
          <w:tcPr>
            <w:tcW w:w="1843" w:type="dxa"/>
            <w:vAlign w:val="center"/>
          </w:tcPr>
          <w:p w14:paraId="041B9543">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现场值守服务</w:t>
            </w:r>
          </w:p>
        </w:tc>
        <w:tc>
          <w:tcPr>
            <w:tcW w:w="5415" w:type="dxa"/>
            <w:vAlign w:val="center"/>
          </w:tcPr>
          <w:p w14:paraId="3139E3B0">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我公司按项目需求派项目工程师进行现场值守服务</w:t>
            </w:r>
          </w:p>
        </w:tc>
        <w:tc>
          <w:tcPr>
            <w:tcW w:w="1172" w:type="dxa"/>
            <w:vMerge w:val="continue"/>
            <w:vAlign w:val="center"/>
          </w:tcPr>
          <w:p w14:paraId="14E0A132">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2FEC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4B053ADD">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5</w:t>
            </w:r>
          </w:p>
        </w:tc>
        <w:tc>
          <w:tcPr>
            <w:tcW w:w="1843" w:type="dxa"/>
            <w:vAlign w:val="center"/>
          </w:tcPr>
          <w:p w14:paraId="22AFFD50">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重大事件技术支持服务</w:t>
            </w:r>
          </w:p>
        </w:tc>
        <w:tc>
          <w:tcPr>
            <w:tcW w:w="5415" w:type="dxa"/>
            <w:vAlign w:val="center"/>
          </w:tcPr>
          <w:p w14:paraId="5495B569">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我公司按项目需求安排资深工程师进行技术支持</w:t>
            </w:r>
          </w:p>
        </w:tc>
        <w:tc>
          <w:tcPr>
            <w:tcW w:w="1172" w:type="dxa"/>
            <w:vMerge w:val="continue"/>
            <w:vAlign w:val="center"/>
          </w:tcPr>
          <w:p w14:paraId="0E5D64B3">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665E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2CAF96BA">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6</w:t>
            </w:r>
          </w:p>
        </w:tc>
        <w:tc>
          <w:tcPr>
            <w:tcW w:w="1843" w:type="dxa"/>
            <w:vAlign w:val="center"/>
          </w:tcPr>
          <w:p w14:paraId="673623A0">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版本升级服务</w:t>
            </w:r>
          </w:p>
        </w:tc>
        <w:tc>
          <w:tcPr>
            <w:tcW w:w="5415" w:type="dxa"/>
            <w:vAlign w:val="center"/>
          </w:tcPr>
          <w:p w14:paraId="2301AAF6">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提供对应的软件版本支持并提供版本升级服务</w:t>
            </w:r>
          </w:p>
        </w:tc>
        <w:tc>
          <w:tcPr>
            <w:tcW w:w="1172" w:type="dxa"/>
            <w:vMerge w:val="continue"/>
            <w:vAlign w:val="center"/>
          </w:tcPr>
          <w:p w14:paraId="1208602F">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7098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896" w:type="dxa"/>
            <w:vAlign w:val="center"/>
          </w:tcPr>
          <w:p w14:paraId="57A4B101">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7</w:t>
            </w:r>
          </w:p>
        </w:tc>
        <w:tc>
          <w:tcPr>
            <w:tcW w:w="1843" w:type="dxa"/>
            <w:vAlign w:val="center"/>
          </w:tcPr>
          <w:p w14:paraId="64275DE9">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资料服务</w:t>
            </w:r>
          </w:p>
        </w:tc>
        <w:tc>
          <w:tcPr>
            <w:tcW w:w="5415" w:type="dxa"/>
            <w:vAlign w:val="center"/>
          </w:tcPr>
          <w:p w14:paraId="554A98B9">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可以通过设备厂商发放的纸面文档、电子邮件、磁盘、光盘等形式，获得设备厂家的有关产品知识、设备运行、维护经验和技巧等方面的资料。资料服务包括以下服务内容：资料索取服务。</w:t>
            </w:r>
          </w:p>
        </w:tc>
        <w:tc>
          <w:tcPr>
            <w:tcW w:w="1172" w:type="dxa"/>
            <w:vMerge w:val="continue"/>
            <w:vAlign w:val="center"/>
          </w:tcPr>
          <w:p w14:paraId="29D1CC52">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767E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B15DD71">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8</w:t>
            </w:r>
          </w:p>
        </w:tc>
        <w:tc>
          <w:tcPr>
            <w:tcW w:w="1843" w:type="dxa"/>
            <w:vAlign w:val="center"/>
          </w:tcPr>
          <w:p w14:paraId="30DCE66F">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故障件维修服务</w:t>
            </w:r>
          </w:p>
        </w:tc>
        <w:tc>
          <w:tcPr>
            <w:tcW w:w="5415" w:type="dxa"/>
            <w:vAlign w:val="center"/>
          </w:tcPr>
          <w:p w14:paraId="2580F483">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对用户在使用过程中出现的故障板件进行修复以保证设备持续可用的服务。</w:t>
            </w:r>
          </w:p>
        </w:tc>
        <w:tc>
          <w:tcPr>
            <w:tcW w:w="1172" w:type="dxa"/>
            <w:vMerge w:val="continue"/>
            <w:vAlign w:val="center"/>
          </w:tcPr>
          <w:p w14:paraId="5F31044E">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56FD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011AB3D3">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9</w:t>
            </w:r>
          </w:p>
        </w:tc>
        <w:tc>
          <w:tcPr>
            <w:tcW w:w="1843" w:type="dxa"/>
            <w:vAlign w:val="center"/>
          </w:tcPr>
          <w:p w14:paraId="78715F6B">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备件同步升级服务</w:t>
            </w:r>
          </w:p>
        </w:tc>
        <w:tc>
          <w:tcPr>
            <w:tcW w:w="5415" w:type="dxa"/>
            <w:vAlign w:val="center"/>
          </w:tcPr>
          <w:p w14:paraId="30668DCD">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695AAF23">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54F7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5F7CB7CC">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10</w:t>
            </w:r>
          </w:p>
        </w:tc>
        <w:tc>
          <w:tcPr>
            <w:tcW w:w="1843" w:type="dxa"/>
            <w:vAlign w:val="center"/>
          </w:tcPr>
          <w:p w14:paraId="4EA3E7EC">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设备巡检及健康检查服务</w:t>
            </w:r>
          </w:p>
        </w:tc>
        <w:tc>
          <w:tcPr>
            <w:tcW w:w="5415" w:type="dxa"/>
            <w:vAlign w:val="center"/>
          </w:tcPr>
          <w:p w14:paraId="01052846">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按项目需求派项目工程师进行设备巡检及健康检查服务</w:t>
            </w:r>
          </w:p>
        </w:tc>
        <w:tc>
          <w:tcPr>
            <w:tcW w:w="1172" w:type="dxa"/>
            <w:vMerge w:val="continue"/>
            <w:vAlign w:val="center"/>
          </w:tcPr>
          <w:p w14:paraId="3DE6A93F">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184F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896" w:type="dxa"/>
            <w:vAlign w:val="center"/>
          </w:tcPr>
          <w:p w14:paraId="3C1A9B59">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11</w:t>
            </w:r>
          </w:p>
        </w:tc>
        <w:tc>
          <w:tcPr>
            <w:tcW w:w="1843" w:type="dxa"/>
            <w:vAlign w:val="center"/>
          </w:tcPr>
          <w:p w14:paraId="63C669F7">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第三方设备技术支持服务</w:t>
            </w:r>
          </w:p>
        </w:tc>
        <w:tc>
          <w:tcPr>
            <w:tcW w:w="5415" w:type="dxa"/>
            <w:vAlign w:val="center"/>
          </w:tcPr>
          <w:p w14:paraId="4DDC1141">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设备厂家在外购件统一维修服务中全面负责与第三方设备厂商接口。包含由我方集成和采购、并按照设备使用方要求提供统一维保服务的的第三方设备的服务费用；我公司可以提供外购件维修服务单独报价供设备使用方参考。</w:t>
            </w:r>
          </w:p>
        </w:tc>
        <w:tc>
          <w:tcPr>
            <w:tcW w:w="1172" w:type="dxa"/>
            <w:vMerge w:val="continue"/>
            <w:vAlign w:val="center"/>
          </w:tcPr>
          <w:p w14:paraId="0E8ED35E">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44C7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3A3EC032">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12</w:t>
            </w:r>
          </w:p>
        </w:tc>
        <w:tc>
          <w:tcPr>
            <w:tcW w:w="1843" w:type="dxa"/>
            <w:vAlign w:val="center"/>
          </w:tcPr>
          <w:p w14:paraId="14600A38">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配合运用质量分析服务</w:t>
            </w:r>
          </w:p>
        </w:tc>
        <w:tc>
          <w:tcPr>
            <w:tcW w:w="5415" w:type="dxa"/>
            <w:vAlign w:val="center"/>
          </w:tcPr>
          <w:p w14:paraId="4374C7D5">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我公司按项目需求提供配合运用质量分析服务</w:t>
            </w:r>
          </w:p>
        </w:tc>
        <w:tc>
          <w:tcPr>
            <w:tcW w:w="1172" w:type="dxa"/>
            <w:vMerge w:val="continue"/>
            <w:vAlign w:val="center"/>
          </w:tcPr>
          <w:p w14:paraId="722306C6">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474E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4175829F">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13</w:t>
            </w:r>
          </w:p>
        </w:tc>
        <w:tc>
          <w:tcPr>
            <w:tcW w:w="1843" w:type="dxa"/>
            <w:vAlign w:val="center"/>
          </w:tcPr>
          <w:p w14:paraId="5420D325">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网络优化服务</w:t>
            </w:r>
          </w:p>
        </w:tc>
        <w:tc>
          <w:tcPr>
            <w:tcW w:w="5415" w:type="dxa"/>
            <w:vAlign w:val="center"/>
          </w:tcPr>
          <w:p w14:paraId="0A5113ED">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我公司按项目需求提供网络优化服务</w:t>
            </w:r>
          </w:p>
        </w:tc>
        <w:tc>
          <w:tcPr>
            <w:tcW w:w="1172" w:type="dxa"/>
            <w:vMerge w:val="continue"/>
            <w:vAlign w:val="center"/>
          </w:tcPr>
          <w:p w14:paraId="63762AA3">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499F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2B1AADB1">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14</w:t>
            </w:r>
          </w:p>
        </w:tc>
        <w:tc>
          <w:tcPr>
            <w:tcW w:w="1843" w:type="dxa"/>
            <w:vAlign w:val="center"/>
          </w:tcPr>
          <w:p w14:paraId="39861D1E">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紧急故障恢复服务</w:t>
            </w:r>
          </w:p>
        </w:tc>
        <w:tc>
          <w:tcPr>
            <w:tcW w:w="5415" w:type="dxa"/>
            <w:vAlign w:val="center"/>
          </w:tcPr>
          <w:p w14:paraId="6917DC1E">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按照故障处理难易程度收费</w:t>
            </w:r>
          </w:p>
        </w:tc>
        <w:tc>
          <w:tcPr>
            <w:tcW w:w="1172" w:type="dxa"/>
            <w:vMerge w:val="continue"/>
            <w:vAlign w:val="center"/>
          </w:tcPr>
          <w:p w14:paraId="53644B08">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7D77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7F6BCD15">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15</w:t>
            </w:r>
          </w:p>
        </w:tc>
        <w:tc>
          <w:tcPr>
            <w:tcW w:w="1843" w:type="dxa"/>
            <w:vAlign w:val="center"/>
          </w:tcPr>
          <w:p w14:paraId="65A78C52">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备件紧急支持服务</w:t>
            </w:r>
          </w:p>
        </w:tc>
        <w:tc>
          <w:tcPr>
            <w:tcW w:w="5415" w:type="dxa"/>
            <w:vAlign w:val="center"/>
          </w:tcPr>
          <w:p w14:paraId="67BF22FE">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服务免费，硬件按备件报价收费</w:t>
            </w:r>
          </w:p>
        </w:tc>
        <w:tc>
          <w:tcPr>
            <w:tcW w:w="1172" w:type="dxa"/>
            <w:vMerge w:val="continue"/>
            <w:vAlign w:val="center"/>
          </w:tcPr>
          <w:p w14:paraId="2AAE581F">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4BE4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704E173">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16</w:t>
            </w:r>
          </w:p>
        </w:tc>
        <w:tc>
          <w:tcPr>
            <w:tcW w:w="1843" w:type="dxa"/>
            <w:vAlign w:val="center"/>
          </w:tcPr>
          <w:p w14:paraId="4149DE4E">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备件销售服务</w:t>
            </w:r>
          </w:p>
        </w:tc>
        <w:tc>
          <w:tcPr>
            <w:tcW w:w="5415" w:type="dxa"/>
            <w:vAlign w:val="center"/>
          </w:tcPr>
          <w:p w14:paraId="49E234E5">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服务免费，硬件按备件报价收费</w:t>
            </w:r>
          </w:p>
        </w:tc>
        <w:tc>
          <w:tcPr>
            <w:tcW w:w="1172" w:type="dxa"/>
            <w:vMerge w:val="continue"/>
            <w:vAlign w:val="center"/>
          </w:tcPr>
          <w:p w14:paraId="061417E0">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7AB7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1E1A1141">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17</w:t>
            </w:r>
          </w:p>
        </w:tc>
        <w:tc>
          <w:tcPr>
            <w:tcW w:w="1843" w:type="dxa"/>
            <w:vAlign w:val="center"/>
          </w:tcPr>
          <w:p w14:paraId="6914BEAE">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备件同步升级服务</w:t>
            </w:r>
          </w:p>
        </w:tc>
        <w:tc>
          <w:tcPr>
            <w:tcW w:w="5415" w:type="dxa"/>
            <w:vAlign w:val="center"/>
          </w:tcPr>
          <w:p w14:paraId="5BE411C5">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578A965F">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031E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F7295FC">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18</w:t>
            </w:r>
          </w:p>
        </w:tc>
        <w:tc>
          <w:tcPr>
            <w:tcW w:w="1843" w:type="dxa"/>
            <w:vAlign w:val="center"/>
          </w:tcPr>
          <w:p w14:paraId="19F0E4C0">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运维交流会服务</w:t>
            </w:r>
          </w:p>
        </w:tc>
        <w:tc>
          <w:tcPr>
            <w:tcW w:w="5415" w:type="dxa"/>
            <w:vAlign w:val="center"/>
          </w:tcPr>
          <w:p w14:paraId="49846B7F">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根据需要派专业工程师提供运维交流会服务</w:t>
            </w:r>
          </w:p>
        </w:tc>
        <w:tc>
          <w:tcPr>
            <w:tcW w:w="1172" w:type="dxa"/>
            <w:vMerge w:val="continue"/>
            <w:vAlign w:val="center"/>
          </w:tcPr>
          <w:p w14:paraId="781CC77E">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566E2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35549FBA">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19</w:t>
            </w:r>
          </w:p>
        </w:tc>
        <w:tc>
          <w:tcPr>
            <w:tcW w:w="1843" w:type="dxa"/>
            <w:vAlign w:val="center"/>
          </w:tcPr>
          <w:p w14:paraId="0A807200">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维保执行月报服务</w:t>
            </w:r>
          </w:p>
        </w:tc>
        <w:tc>
          <w:tcPr>
            <w:tcW w:w="5415" w:type="dxa"/>
            <w:vAlign w:val="center"/>
          </w:tcPr>
          <w:p w14:paraId="7CA222CB">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根据需要进行维保服务</w:t>
            </w:r>
          </w:p>
        </w:tc>
        <w:tc>
          <w:tcPr>
            <w:tcW w:w="1172" w:type="dxa"/>
            <w:vMerge w:val="continue"/>
            <w:vAlign w:val="center"/>
          </w:tcPr>
          <w:p w14:paraId="731DB9CF">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r w14:paraId="01B5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5A1A3D53">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20</w:t>
            </w:r>
          </w:p>
        </w:tc>
        <w:tc>
          <w:tcPr>
            <w:tcW w:w="1843" w:type="dxa"/>
            <w:vAlign w:val="center"/>
          </w:tcPr>
          <w:p w14:paraId="3BAF7A43">
            <w:pPr>
              <w:widowControl/>
              <w:tabs>
                <w:tab w:val="left" w:pos="567"/>
              </w:tabs>
              <w:kinsoku/>
              <w:wordWrap/>
              <w:overflowPunct/>
              <w:topLinePunct w:val="0"/>
              <w:bidi w:val="0"/>
              <w:spacing w:line="300" w:lineRule="auto"/>
              <w:jc w:val="center"/>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其它服务</w:t>
            </w:r>
          </w:p>
        </w:tc>
        <w:tc>
          <w:tcPr>
            <w:tcW w:w="5415" w:type="dxa"/>
            <w:vAlign w:val="center"/>
          </w:tcPr>
          <w:p w14:paraId="55F21F66">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c>
          <w:tcPr>
            <w:tcW w:w="1172" w:type="dxa"/>
            <w:vMerge w:val="continue"/>
            <w:vAlign w:val="center"/>
          </w:tcPr>
          <w:p w14:paraId="44AB7BB3">
            <w:pPr>
              <w:widowControl/>
              <w:tabs>
                <w:tab w:val="left" w:pos="567"/>
              </w:tabs>
              <w:kinsoku/>
              <w:wordWrap/>
              <w:overflowPunct/>
              <w:topLinePunct w:val="0"/>
              <w:bidi w:val="0"/>
              <w:spacing w:line="300" w:lineRule="auto"/>
              <w:jc w:val="left"/>
              <w:rPr>
                <w:rFonts w:hint="eastAsia" w:ascii="仿宋" w:hAnsi="仿宋" w:eastAsia="仿宋" w:cs="仿宋"/>
                <w:color w:val="000000" w:themeColor="text1"/>
                <w:kern w:val="0"/>
                <w:sz w:val="21"/>
                <w:szCs w:val="21"/>
                <w:highlight w:val="none"/>
                <w14:textFill>
                  <w14:solidFill>
                    <w14:schemeClr w14:val="tx1"/>
                  </w14:solidFill>
                </w14:textFill>
              </w:rPr>
            </w:pPr>
          </w:p>
        </w:tc>
      </w:tr>
    </w:tbl>
    <w:p w14:paraId="56368909">
      <w:pPr>
        <w:pStyle w:val="2"/>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115" w:name="_Toc6840922"/>
      <w:bookmarkStart w:id="116" w:name="_Toc20868"/>
      <w:bookmarkStart w:id="117" w:name="_Toc4751277"/>
      <w:bookmarkStart w:id="118" w:name="_Toc5281092"/>
      <w:r>
        <w:rPr>
          <w:rFonts w:hint="eastAsia" w:ascii="仿宋" w:hAnsi="仿宋" w:eastAsia="仿宋" w:cs="仿宋"/>
          <w:color w:val="000000" w:themeColor="text1"/>
          <w:sz w:val="21"/>
          <w:szCs w:val="21"/>
          <w:highlight w:val="none"/>
          <w14:textFill>
            <w14:solidFill>
              <w14:schemeClr w14:val="tx1"/>
            </w14:solidFill>
          </w14:textFill>
        </w:rPr>
        <w:t>十一、售后服务人员配置情况</w:t>
      </w:r>
      <w:bookmarkEnd w:id="115"/>
      <w:bookmarkEnd w:id="116"/>
      <w:bookmarkEnd w:id="117"/>
      <w:bookmarkEnd w:id="118"/>
    </w:p>
    <w:tbl>
      <w:tblPr>
        <w:tblStyle w:val="6"/>
        <w:tblpPr w:leftFromText="180" w:rightFromText="180" w:vertAnchor="text" w:horzAnchor="page" w:tblpX="1354" w:tblpY="145"/>
        <w:tblOverlap w:val="never"/>
        <w:tblW w:w="9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8"/>
        <w:gridCol w:w="1643"/>
        <w:gridCol w:w="2411"/>
        <w:gridCol w:w="2280"/>
      </w:tblGrid>
      <w:tr w14:paraId="5961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3068" w:type="dxa"/>
            <w:vAlign w:val="center"/>
          </w:tcPr>
          <w:p w14:paraId="0533FC15">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服务机构名称</w:t>
            </w:r>
          </w:p>
        </w:tc>
        <w:tc>
          <w:tcPr>
            <w:tcW w:w="1643" w:type="dxa"/>
            <w:vAlign w:val="center"/>
          </w:tcPr>
          <w:p w14:paraId="365A74FE">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联系人</w:t>
            </w:r>
          </w:p>
        </w:tc>
        <w:tc>
          <w:tcPr>
            <w:tcW w:w="2411" w:type="dxa"/>
            <w:vAlign w:val="center"/>
          </w:tcPr>
          <w:p w14:paraId="4746F310">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职责</w:t>
            </w:r>
          </w:p>
        </w:tc>
        <w:tc>
          <w:tcPr>
            <w:tcW w:w="2280" w:type="dxa"/>
            <w:vAlign w:val="center"/>
          </w:tcPr>
          <w:p w14:paraId="07E78EE6">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p>
        </w:tc>
      </w:tr>
      <w:tr w14:paraId="7A84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3068" w:type="dxa"/>
            <w:vMerge w:val="restart"/>
            <w:vAlign w:val="center"/>
          </w:tcPr>
          <w:p w14:paraId="14E110F9">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643" w:type="dxa"/>
            <w:vAlign w:val="center"/>
          </w:tcPr>
          <w:p w14:paraId="1954CB2B">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2411" w:type="dxa"/>
            <w:vAlign w:val="center"/>
          </w:tcPr>
          <w:p w14:paraId="6502F8A0">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2280" w:type="dxa"/>
            <w:vAlign w:val="center"/>
          </w:tcPr>
          <w:p w14:paraId="3E090152">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r>
      <w:tr w14:paraId="7270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3068" w:type="dxa"/>
            <w:vMerge w:val="continue"/>
            <w:vAlign w:val="center"/>
          </w:tcPr>
          <w:p w14:paraId="45B80FA5">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643" w:type="dxa"/>
            <w:vAlign w:val="center"/>
          </w:tcPr>
          <w:p w14:paraId="413D195D">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2411" w:type="dxa"/>
            <w:vAlign w:val="center"/>
          </w:tcPr>
          <w:p w14:paraId="6002D841">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2280" w:type="dxa"/>
            <w:vAlign w:val="center"/>
          </w:tcPr>
          <w:p w14:paraId="682F1CCA">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r>
      <w:tr w14:paraId="23F7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3068" w:type="dxa"/>
            <w:vMerge w:val="continue"/>
            <w:vAlign w:val="center"/>
          </w:tcPr>
          <w:p w14:paraId="59B1F37D">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643" w:type="dxa"/>
            <w:vAlign w:val="center"/>
          </w:tcPr>
          <w:p w14:paraId="1AD6ED09">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2411" w:type="dxa"/>
            <w:vAlign w:val="center"/>
          </w:tcPr>
          <w:p w14:paraId="425037F4">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2280" w:type="dxa"/>
            <w:vAlign w:val="center"/>
          </w:tcPr>
          <w:p w14:paraId="1A7F62A3">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r>
      <w:tr w14:paraId="1917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3068" w:type="dxa"/>
            <w:vMerge w:val="continue"/>
            <w:vAlign w:val="center"/>
          </w:tcPr>
          <w:p w14:paraId="7118519A">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643" w:type="dxa"/>
            <w:vAlign w:val="center"/>
          </w:tcPr>
          <w:p w14:paraId="4CFF674C">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2411" w:type="dxa"/>
            <w:vAlign w:val="center"/>
          </w:tcPr>
          <w:p w14:paraId="7D2AAD3E">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2280" w:type="dxa"/>
            <w:vAlign w:val="center"/>
          </w:tcPr>
          <w:p w14:paraId="69450D2C">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r>
    </w:tbl>
    <w:p w14:paraId="080BA41A">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 xml:space="preserve"> 办公地点及服务机构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1"/>
        <w:gridCol w:w="990"/>
        <w:gridCol w:w="1140"/>
        <w:gridCol w:w="1545"/>
        <w:gridCol w:w="2894"/>
      </w:tblGrid>
      <w:tr w14:paraId="171B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851" w:type="dxa"/>
            <w:vAlign w:val="center"/>
          </w:tcPr>
          <w:p w14:paraId="41A33CBB">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服务机构名称</w:t>
            </w:r>
          </w:p>
        </w:tc>
        <w:tc>
          <w:tcPr>
            <w:tcW w:w="990" w:type="dxa"/>
            <w:vAlign w:val="center"/>
          </w:tcPr>
          <w:p w14:paraId="2E5DB01F">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所在地</w:t>
            </w:r>
          </w:p>
        </w:tc>
        <w:tc>
          <w:tcPr>
            <w:tcW w:w="1140" w:type="dxa"/>
            <w:vAlign w:val="center"/>
          </w:tcPr>
          <w:p w14:paraId="5B3A5519">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部门</w:t>
            </w:r>
          </w:p>
        </w:tc>
        <w:tc>
          <w:tcPr>
            <w:tcW w:w="1545" w:type="dxa"/>
            <w:vAlign w:val="center"/>
          </w:tcPr>
          <w:p w14:paraId="67DF96FE">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p>
        </w:tc>
        <w:tc>
          <w:tcPr>
            <w:tcW w:w="2894" w:type="dxa"/>
            <w:vAlign w:val="center"/>
          </w:tcPr>
          <w:p w14:paraId="07B0723B">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地址</w:t>
            </w:r>
          </w:p>
        </w:tc>
      </w:tr>
      <w:tr w14:paraId="72BE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2851" w:type="dxa"/>
            <w:vAlign w:val="center"/>
          </w:tcPr>
          <w:p w14:paraId="01F88BE3">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990" w:type="dxa"/>
            <w:vAlign w:val="center"/>
          </w:tcPr>
          <w:p w14:paraId="371B378A">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40" w:type="dxa"/>
            <w:vAlign w:val="center"/>
          </w:tcPr>
          <w:p w14:paraId="2A2E8C31">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545" w:type="dxa"/>
            <w:vAlign w:val="center"/>
          </w:tcPr>
          <w:p w14:paraId="56C50339">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2894" w:type="dxa"/>
            <w:vAlign w:val="center"/>
          </w:tcPr>
          <w:p w14:paraId="5F19903A">
            <w:pPr>
              <w:kinsoku/>
              <w:wordWrap/>
              <w:overflowPunct/>
              <w:topLinePunct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p>
        </w:tc>
      </w:tr>
    </w:tbl>
    <w:p w14:paraId="43BF044D">
      <w:pPr>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附件4—培训计划（参考模板）</w:t>
      </w:r>
    </w:p>
    <w:p w14:paraId="1214C41C">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经验证明，完善和成功的培训将是系统建设能否成功的决定因素之一。为此，公司根据信息化集成项目的实际情况，制定了完善的培训计划。</w:t>
      </w:r>
    </w:p>
    <w:p w14:paraId="41B41A3F">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根据系统建设各个阶段的需要，以集中培训(国内)和现场培训等方式实施培训工作。培训工作分为工程实施阶段和系统运行阶段，在不同阶段培训不同类型的人员。培训内容主要系统的管理、使用及维护等。接受培训的人员在培训后能独立完成相应阶段的技术工作，并能达到回本单位后继续做培训的能力。使工程作到“交钥匙”工程“用户满意”工程。</w:t>
      </w:r>
    </w:p>
    <w:p w14:paraId="355FC5F1">
      <w:pPr>
        <w:pStyle w:val="2"/>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119" w:name="_Toc437963674"/>
      <w:bookmarkStart w:id="120" w:name="_Toc29878"/>
      <w:bookmarkStart w:id="121" w:name="_Toc455830778"/>
      <w:bookmarkStart w:id="122" w:name="_Toc5281094"/>
      <w:bookmarkStart w:id="123" w:name="_Toc23382"/>
      <w:bookmarkStart w:id="124" w:name="_Toc407132628"/>
      <w:bookmarkStart w:id="125" w:name="_Toc406487122"/>
      <w:bookmarkStart w:id="126" w:name="_Toc6612"/>
      <w:bookmarkStart w:id="127" w:name="_Toc394439056"/>
      <w:bookmarkStart w:id="128" w:name="_Toc435649541"/>
      <w:bookmarkStart w:id="129" w:name="_Toc4751279"/>
      <w:bookmarkStart w:id="130" w:name="_Toc4719"/>
      <w:bookmarkStart w:id="131" w:name="_Toc395805591"/>
      <w:bookmarkStart w:id="132" w:name="_Toc11603"/>
      <w:bookmarkStart w:id="133" w:name="_Toc6840926"/>
      <w:bookmarkStart w:id="134" w:name="_Toc24722"/>
      <w:bookmarkStart w:id="135" w:name="_Toc396225535"/>
      <w:bookmarkStart w:id="136" w:name="_Toc449024111"/>
      <w:bookmarkStart w:id="137" w:name="_Toc25886"/>
      <w:r>
        <w:rPr>
          <w:rFonts w:hint="eastAsia" w:ascii="仿宋" w:hAnsi="仿宋" w:eastAsia="仿宋" w:cs="仿宋"/>
          <w:color w:val="000000" w:themeColor="text1"/>
          <w:sz w:val="21"/>
          <w:szCs w:val="21"/>
          <w:highlight w:val="none"/>
          <w14:textFill>
            <w14:solidFill>
              <w14:schemeClr w14:val="tx1"/>
            </w14:solidFill>
          </w14:textFill>
        </w:rPr>
        <w:t>1、培训方案及目的</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6398D56">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在项目实施过程中，本公司除贯穿实施全过程对用户进行培训外，还针对本项目的产品提出一整套系统的培训方案，以达到如下目的：</w:t>
      </w:r>
    </w:p>
    <w:p w14:paraId="58EFED77">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工程能够按时高质量的完成。如对买方协作人员的培训。</w:t>
      </w:r>
    </w:p>
    <w:p w14:paraId="0775C42D">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系统完工后能够正常运转。如：各种软硬件的操作培训等。</w:t>
      </w:r>
    </w:p>
    <w:p w14:paraId="4BF3B2EF">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系统能安全无故障的运行。如针对安全性对技术人员进行安全管理的培训。</w:t>
      </w:r>
    </w:p>
    <w:p w14:paraId="5F246AB1">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此次培训的老师全部为我公司和相关厂商的专职培训人员。使维护工作人员经培训后能够熟练地掌握系统的软件及硬件维护工作，并能及时排除大部分设备故障。</w:t>
      </w:r>
    </w:p>
    <w:p w14:paraId="131DE969">
      <w:pPr>
        <w:pStyle w:val="2"/>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138" w:name="_Toc396225536"/>
      <w:bookmarkStart w:id="139" w:name="_Toc407132629"/>
      <w:bookmarkStart w:id="140" w:name="_Toc437963675"/>
      <w:bookmarkStart w:id="141" w:name="_Toc394439059"/>
      <w:bookmarkStart w:id="142" w:name="_Toc455830779"/>
      <w:bookmarkStart w:id="143" w:name="_Toc449024112"/>
      <w:bookmarkStart w:id="144" w:name="_Toc406487123"/>
      <w:bookmarkStart w:id="145" w:name="_Toc395805592"/>
      <w:bookmarkStart w:id="146" w:name="_Toc17475"/>
      <w:bookmarkStart w:id="147" w:name="_Toc26198"/>
      <w:bookmarkStart w:id="148" w:name="_Toc6840927"/>
      <w:bookmarkStart w:id="149" w:name="_Toc4344"/>
      <w:bookmarkStart w:id="150" w:name="_Toc16483"/>
      <w:bookmarkStart w:id="151" w:name="_Toc5281095"/>
      <w:bookmarkStart w:id="152" w:name="_Toc16695"/>
      <w:bookmarkStart w:id="153" w:name="_Toc4751280"/>
      <w:bookmarkStart w:id="154" w:name="_Toc30610"/>
      <w:bookmarkStart w:id="155" w:name="_Toc7031"/>
      <w:r>
        <w:rPr>
          <w:rFonts w:hint="eastAsia" w:ascii="仿宋" w:hAnsi="仿宋" w:eastAsia="仿宋" w:cs="仿宋"/>
          <w:color w:val="000000" w:themeColor="text1"/>
          <w:sz w:val="21"/>
          <w:szCs w:val="21"/>
          <w:highlight w:val="none"/>
          <w14:textFill>
            <w14:solidFill>
              <w14:schemeClr w14:val="tx1"/>
            </w14:solidFill>
          </w14:textFill>
        </w:rPr>
        <w:t>2、培训</w:t>
      </w:r>
      <w:bookmarkEnd w:id="138"/>
      <w:bookmarkEnd w:id="139"/>
      <w:bookmarkEnd w:id="140"/>
      <w:bookmarkEnd w:id="141"/>
      <w:bookmarkEnd w:id="142"/>
      <w:bookmarkEnd w:id="143"/>
      <w:bookmarkEnd w:id="144"/>
      <w:bookmarkEnd w:id="145"/>
      <w:r>
        <w:rPr>
          <w:rFonts w:hint="eastAsia" w:ascii="仿宋" w:hAnsi="仿宋" w:eastAsia="仿宋" w:cs="仿宋"/>
          <w:color w:val="000000" w:themeColor="text1"/>
          <w:sz w:val="21"/>
          <w:szCs w:val="21"/>
          <w:highlight w:val="none"/>
          <w14:textFill>
            <w14:solidFill>
              <w14:schemeClr w14:val="tx1"/>
            </w14:solidFill>
          </w14:textFill>
        </w:rPr>
        <w:t>环境、教材、制度、特色</w:t>
      </w:r>
      <w:bookmarkEnd w:id="146"/>
      <w:bookmarkEnd w:id="147"/>
      <w:bookmarkEnd w:id="148"/>
      <w:bookmarkEnd w:id="149"/>
      <w:bookmarkEnd w:id="150"/>
      <w:bookmarkEnd w:id="151"/>
      <w:bookmarkEnd w:id="152"/>
      <w:bookmarkEnd w:id="153"/>
      <w:bookmarkEnd w:id="154"/>
      <w:bookmarkEnd w:id="155"/>
    </w:p>
    <w:p w14:paraId="7D902434">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有效的情景展开</w:t>
      </w:r>
    </w:p>
    <w:p w14:paraId="1DC9CE89">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适用的内容剖析</w:t>
      </w:r>
    </w:p>
    <w:p w14:paraId="62052A1F">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实用的课程传授</w:t>
      </w:r>
    </w:p>
    <w:p w14:paraId="7B2DC49E">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课程的量身定做</w:t>
      </w:r>
    </w:p>
    <w:p w14:paraId="25DCEE0A">
      <w:pPr>
        <w:pStyle w:val="2"/>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156" w:name="_Toc390247417"/>
      <w:bookmarkStart w:id="157" w:name="_Toc18292"/>
      <w:bookmarkStart w:id="158" w:name="_Toc449022286"/>
      <w:bookmarkStart w:id="159" w:name="_Toc383526925"/>
      <w:bookmarkStart w:id="160" w:name="_Toc6840928"/>
      <w:bookmarkStart w:id="161" w:name="_Toc3245"/>
      <w:bookmarkStart w:id="162" w:name="_Toc388026139"/>
      <w:bookmarkStart w:id="163" w:name="_Toc371082043"/>
      <w:bookmarkStart w:id="164" w:name="_Toc4751281"/>
      <w:bookmarkStart w:id="165" w:name="_Toc1785"/>
      <w:bookmarkStart w:id="166" w:name="_Toc370801222"/>
      <w:bookmarkStart w:id="167" w:name="_Toc19400"/>
      <w:bookmarkStart w:id="168" w:name="_Toc14111"/>
      <w:bookmarkStart w:id="169" w:name="_Toc31614"/>
      <w:bookmarkStart w:id="170" w:name="_Toc5281096"/>
      <w:r>
        <w:rPr>
          <w:rFonts w:hint="eastAsia" w:ascii="仿宋" w:hAnsi="仿宋" w:eastAsia="仿宋" w:cs="仿宋"/>
          <w:color w:val="000000" w:themeColor="text1"/>
          <w:sz w:val="21"/>
          <w:szCs w:val="21"/>
          <w:highlight w:val="none"/>
          <w14:textFill>
            <w14:solidFill>
              <w14:schemeClr w14:val="tx1"/>
            </w14:solidFill>
          </w14:textFill>
        </w:rPr>
        <w:t>3、培训环境</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7A4CD3A">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硬件环境因不同的培训场地可能有所差异。以下所列为基本培训环境。</w:t>
      </w:r>
    </w:p>
    <w:tbl>
      <w:tblPr>
        <w:tblStyle w:val="6"/>
        <w:tblW w:w="9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8"/>
        <w:gridCol w:w="6471"/>
      </w:tblGrid>
      <w:tr w14:paraId="2845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7861EA81">
            <w:pPr>
              <w:kinsoku/>
              <w:wordWrap/>
              <w:overflowPunct/>
              <w:topLinePunct w:val="0"/>
              <w:autoSpaceDE w:val="0"/>
              <w:autoSpaceDN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设备名称</w:t>
            </w:r>
          </w:p>
        </w:tc>
        <w:tc>
          <w:tcPr>
            <w:tcW w:w="6471" w:type="dxa"/>
            <w:tcBorders>
              <w:top w:val="single" w:color="auto" w:sz="4" w:space="0"/>
              <w:left w:val="single" w:color="auto" w:sz="4" w:space="0"/>
              <w:bottom w:val="single" w:color="auto" w:sz="4" w:space="0"/>
              <w:right w:val="single" w:color="auto" w:sz="4" w:space="0"/>
            </w:tcBorders>
            <w:vAlign w:val="center"/>
          </w:tcPr>
          <w:p w14:paraId="5F6E5F28">
            <w:pPr>
              <w:kinsoku/>
              <w:wordWrap/>
              <w:overflowPunct/>
              <w:topLinePunct w:val="0"/>
              <w:autoSpaceDE w:val="0"/>
              <w:autoSpaceDN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备注</w:t>
            </w:r>
          </w:p>
        </w:tc>
      </w:tr>
      <w:tr w14:paraId="4038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0A25024A">
            <w:pPr>
              <w:kinsoku/>
              <w:wordWrap/>
              <w:overflowPunct/>
              <w:topLinePunct w:val="0"/>
              <w:autoSpaceDE w:val="0"/>
              <w:autoSpaceDN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培训场所（教室）</w:t>
            </w:r>
          </w:p>
        </w:tc>
        <w:tc>
          <w:tcPr>
            <w:tcW w:w="6471" w:type="dxa"/>
            <w:tcBorders>
              <w:top w:val="single" w:color="auto" w:sz="4" w:space="0"/>
              <w:left w:val="single" w:color="auto" w:sz="4" w:space="0"/>
              <w:bottom w:val="single" w:color="auto" w:sz="4" w:space="0"/>
              <w:right w:val="single" w:color="auto" w:sz="4" w:space="0"/>
            </w:tcBorders>
            <w:vAlign w:val="center"/>
          </w:tcPr>
          <w:p w14:paraId="48D576B9">
            <w:pPr>
              <w:kinsoku/>
              <w:wordWrap/>
              <w:overflowPunct/>
              <w:topLinePunct w:val="0"/>
              <w:autoSpaceDE w:val="0"/>
              <w:autoSpaceDN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可以容纳每班的培训人员</w:t>
            </w:r>
          </w:p>
        </w:tc>
      </w:tr>
      <w:tr w14:paraId="220D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4EC61D02">
            <w:pPr>
              <w:kinsoku/>
              <w:wordWrap/>
              <w:overflowPunct/>
              <w:topLinePunct w:val="0"/>
              <w:autoSpaceDE w:val="0"/>
              <w:autoSpaceDN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桌椅</w:t>
            </w:r>
          </w:p>
        </w:tc>
        <w:tc>
          <w:tcPr>
            <w:tcW w:w="6471" w:type="dxa"/>
            <w:tcBorders>
              <w:top w:val="single" w:color="auto" w:sz="4" w:space="0"/>
              <w:left w:val="single" w:color="auto" w:sz="4" w:space="0"/>
              <w:bottom w:val="single" w:color="auto" w:sz="4" w:space="0"/>
              <w:right w:val="single" w:color="auto" w:sz="4" w:space="0"/>
            </w:tcBorders>
            <w:vAlign w:val="center"/>
          </w:tcPr>
          <w:p w14:paraId="2153AC7F">
            <w:pPr>
              <w:kinsoku/>
              <w:wordWrap/>
              <w:overflowPunct/>
              <w:topLinePunct w:val="0"/>
              <w:autoSpaceDE w:val="0"/>
              <w:autoSpaceDN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每人一套</w:t>
            </w:r>
          </w:p>
        </w:tc>
      </w:tr>
      <w:tr w14:paraId="4427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720F7D34">
            <w:pPr>
              <w:kinsoku/>
              <w:wordWrap/>
              <w:overflowPunct/>
              <w:topLinePunct w:val="0"/>
              <w:autoSpaceDE w:val="0"/>
              <w:autoSpaceDN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计算机</w:t>
            </w:r>
          </w:p>
        </w:tc>
        <w:tc>
          <w:tcPr>
            <w:tcW w:w="6471" w:type="dxa"/>
            <w:tcBorders>
              <w:top w:val="single" w:color="auto" w:sz="4" w:space="0"/>
              <w:left w:val="single" w:color="auto" w:sz="4" w:space="0"/>
              <w:bottom w:val="single" w:color="auto" w:sz="4" w:space="0"/>
              <w:right w:val="single" w:color="auto" w:sz="4" w:space="0"/>
            </w:tcBorders>
            <w:vAlign w:val="center"/>
          </w:tcPr>
          <w:p w14:paraId="5743191E">
            <w:pPr>
              <w:kinsoku/>
              <w:wordWrap/>
              <w:overflowPunct/>
              <w:topLinePunct w:val="0"/>
              <w:autoSpaceDE w:val="0"/>
              <w:autoSpaceDN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每人一台</w:t>
            </w:r>
          </w:p>
        </w:tc>
      </w:tr>
      <w:tr w14:paraId="6844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39F422F3">
            <w:pPr>
              <w:kinsoku/>
              <w:wordWrap/>
              <w:overflowPunct/>
              <w:topLinePunct w:val="0"/>
              <w:autoSpaceDE w:val="0"/>
              <w:autoSpaceDN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投影设备</w:t>
            </w:r>
          </w:p>
        </w:tc>
        <w:tc>
          <w:tcPr>
            <w:tcW w:w="6471" w:type="dxa"/>
            <w:tcBorders>
              <w:top w:val="single" w:color="auto" w:sz="4" w:space="0"/>
              <w:left w:val="single" w:color="auto" w:sz="4" w:space="0"/>
              <w:bottom w:val="single" w:color="auto" w:sz="4" w:space="0"/>
              <w:right w:val="single" w:color="auto" w:sz="4" w:space="0"/>
            </w:tcBorders>
            <w:vAlign w:val="center"/>
          </w:tcPr>
          <w:p w14:paraId="65EDA0F6">
            <w:pPr>
              <w:kinsoku/>
              <w:wordWrap/>
              <w:overflowPunct/>
              <w:topLinePunct w:val="0"/>
              <w:autoSpaceDE w:val="0"/>
              <w:autoSpaceDN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每个教室一个</w:t>
            </w:r>
          </w:p>
        </w:tc>
      </w:tr>
      <w:tr w14:paraId="1090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37F79046">
            <w:pPr>
              <w:kinsoku/>
              <w:wordWrap/>
              <w:overflowPunct/>
              <w:topLinePunct w:val="0"/>
              <w:autoSpaceDE w:val="0"/>
              <w:autoSpaceDN w:val="0"/>
              <w:bidi w:val="0"/>
              <w:spacing w:line="300" w:lineRule="auto"/>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其他必要的条件</w:t>
            </w:r>
          </w:p>
        </w:tc>
        <w:tc>
          <w:tcPr>
            <w:tcW w:w="6471" w:type="dxa"/>
            <w:tcBorders>
              <w:top w:val="single" w:color="auto" w:sz="4" w:space="0"/>
              <w:left w:val="single" w:color="auto" w:sz="4" w:space="0"/>
              <w:bottom w:val="single" w:color="auto" w:sz="4" w:space="0"/>
              <w:right w:val="single" w:color="auto" w:sz="4" w:space="0"/>
            </w:tcBorders>
            <w:vAlign w:val="center"/>
          </w:tcPr>
          <w:p w14:paraId="2F66A9E4">
            <w:pPr>
              <w:kinsoku/>
              <w:wordWrap/>
              <w:overflowPunct/>
              <w:topLinePunct w:val="0"/>
              <w:autoSpaceDE w:val="0"/>
              <w:autoSpaceDN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比如白板、白板笔，保证培训环境局域网络的畅通等</w:t>
            </w:r>
          </w:p>
        </w:tc>
      </w:tr>
    </w:tbl>
    <w:p w14:paraId="10074D3A">
      <w:pPr>
        <w:pStyle w:val="2"/>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171" w:name="_Toc371082044"/>
      <w:bookmarkStart w:id="172" w:name="_Toc14351"/>
      <w:bookmarkStart w:id="173" w:name="_Toc383526926"/>
      <w:bookmarkStart w:id="174" w:name="_Toc15828"/>
      <w:bookmarkStart w:id="175" w:name="_Toc19056"/>
      <w:bookmarkStart w:id="176" w:name="_Toc370801223"/>
      <w:bookmarkStart w:id="177" w:name="_Toc5281097"/>
      <w:bookmarkStart w:id="178" w:name="_Toc341284427"/>
      <w:bookmarkStart w:id="179" w:name="_Toc342296345"/>
      <w:bookmarkStart w:id="180" w:name="_Toc27828"/>
      <w:bookmarkStart w:id="181" w:name="_Toc11888"/>
      <w:bookmarkStart w:id="182" w:name="_Toc390247419"/>
      <w:bookmarkStart w:id="183" w:name="_Toc449022287"/>
      <w:bookmarkStart w:id="184" w:name="_Toc4751282"/>
      <w:bookmarkStart w:id="185" w:name="_Toc341371358"/>
      <w:bookmarkStart w:id="186" w:name="_Toc11072"/>
      <w:bookmarkStart w:id="187" w:name="_Toc6840929"/>
      <w:bookmarkStart w:id="188" w:name="_Toc388026140"/>
      <w:r>
        <w:rPr>
          <w:rFonts w:hint="eastAsia" w:ascii="仿宋" w:hAnsi="仿宋" w:eastAsia="仿宋" w:cs="仿宋"/>
          <w:color w:val="000000" w:themeColor="text1"/>
          <w:sz w:val="21"/>
          <w:szCs w:val="21"/>
          <w:highlight w:val="none"/>
          <w14:textFill>
            <w14:solidFill>
              <w14:schemeClr w14:val="tx1"/>
            </w14:solidFill>
          </w14:textFill>
        </w:rPr>
        <w:t>4、培训教材</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32A5F0C">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一整套培训教材包括以下五个组成部分，其中操作使用分册合并成一本、技术资料汇编合并成一本印刷教材，有关标准规范合并成一本教材，原厂培训资料分别合成一本；而培训用PPT、考试试题部分由公司提供电子文档。</w:t>
      </w:r>
    </w:p>
    <w:p w14:paraId="0B8D12F3">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操作分册</w:t>
      </w:r>
    </w:p>
    <w:p w14:paraId="3E1CA19D">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对系统全部功能的概述、指引，引导学员快速了解系统功能，并掌握基本操作方法；针对系统不同功能分别</w:t>
      </w:r>
      <w:r>
        <w:rPr>
          <w:rFonts w:hint="eastAsia" w:ascii="仿宋" w:hAnsi="仿宋" w:eastAsia="仿宋" w:cs="仿宋"/>
          <w:color w:val="000000" w:themeColor="text1"/>
          <w:sz w:val="21"/>
          <w:szCs w:val="21"/>
          <w:highlight w:val="none"/>
          <w:lang w:eastAsia="zh-CN"/>
          <w14:textFill>
            <w14:solidFill>
              <w14:schemeClr w14:val="tx1"/>
            </w14:solidFill>
          </w14:textFill>
        </w:rPr>
        <w:t>定制</w:t>
      </w:r>
      <w:r>
        <w:rPr>
          <w:rFonts w:hint="eastAsia" w:ascii="仿宋" w:hAnsi="仿宋" w:eastAsia="仿宋" w:cs="仿宋"/>
          <w:color w:val="000000" w:themeColor="text1"/>
          <w:sz w:val="21"/>
          <w:szCs w:val="21"/>
          <w:highlight w:val="none"/>
          <w14:textFill>
            <w14:solidFill>
              <w14:schemeClr w14:val="tx1"/>
            </w14:solidFill>
          </w14:textFill>
        </w:rPr>
        <w:t>的简洁、图文并茂的操作说明文档；</w:t>
      </w:r>
    </w:p>
    <w:p w14:paraId="6B70CA62">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技术资料汇编</w:t>
      </w:r>
    </w:p>
    <w:p w14:paraId="6110F1A8">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包括系统的安装、配置、恢复、故障排除、系统原理和技术性能、成功案例等涉及技术人员日常维护工作的、内容全面、详实的技术文档；</w:t>
      </w:r>
    </w:p>
    <w:p w14:paraId="6213B523">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培训用PPT等</w:t>
      </w:r>
    </w:p>
    <w:p w14:paraId="2918EA44">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原厂产品培训资料</w:t>
      </w:r>
    </w:p>
    <w:p w14:paraId="3BDFF16B">
      <w:pPr>
        <w:kinsoku/>
        <w:wordWrap/>
        <w:overflowPunct/>
        <w:topLinePunct w:val="0"/>
        <w:bidi w:val="0"/>
        <w:spacing w:line="300" w:lineRule="auto"/>
        <w:ind w:firstLine="420" w:firstLine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考试试题</w:t>
      </w:r>
    </w:p>
    <w:p w14:paraId="193D70FD">
      <w:pPr>
        <w:pStyle w:val="2"/>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189" w:name="_Toc449022288"/>
      <w:bookmarkStart w:id="190" w:name="_Toc4751283"/>
      <w:bookmarkStart w:id="191" w:name="_Toc5281098"/>
      <w:bookmarkStart w:id="192" w:name="_Toc9373"/>
      <w:bookmarkStart w:id="193" w:name="_Toc12290"/>
      <w:bookmarkStart w:id="194" w:name="_Toc5524"/>
      <w:bookmarkStart w:id="195" w:name="_Toc3349"/>
      <w:bookmarkStart w:id="196" w:name="_Toc388026141"/>
      <w:bookmarkStart w:id="197" w:name="_Toc8023"/>
      <w:bookmarkStart w:id="198" w:name="_Toc6840930"/>
      <w:bookmarkStart w:id="199" w:name="_Toc390247420"/>
      <w:bookmarkStart w:id="200" w:name="_Toc30478"/>
      <w:bookmarkStart w:id="201" w:name="_Toc383526927"/>
      <w:r>
        <w:rPr>
          <w:rFonts w:hint="eastAsia" w:ascii="仿宋" w:hAnsi="仿宋" w:eastAsia="仿宋" w:cs="仿宋"/>
          <w:color w:val="000000" w:themeColor="text1"/>
          <w:sz w:val="21"/>
          <w:szCs w:val="21"/>
          <w:highlight w:val="none"/>
          <w14:textFill>
            <w14:solidFill>
              <w14:schemeClr w14:val="tx1"/>
            </w14:solidFill>
          </w14:textFill>
        </w:rPr>
        <w:t>5、培训制度</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65244897">
      <w:pPr>
        <w:kinsoku/>
        <w:wordWrap/>
        <w:overflowPunct/>
        <w:topLinePunct w:val="0"/>
        <w:bidi w:val="0"/>
        <w:spacing w:line="300" w:lineRule="auto"/>
        <w:ind w:left="420" w:left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1）严格遵守培训课程表中的作息时间；</w:t>
      </w:r>
    </w:p>
    <w:p w14:paraId="3C01A8EA">
      <w:pPr>
        <w:kinsoku/>
        <w:wordWrap/>
        <w:overflowPunct/>
        <w:topLinePunct w:val="0"/>
        <w:bidi w:val="0"/>
        <w:spacing w:line="300" w:lineRule="auto"/>
        <w:ind w:left="420" w:left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2）有例外事情需要向培训负责人请假；</w:t>
      </w:r>
    </w:p>
    <w:p w14:paraId="26B9ED9B">
      <w:pPr>
        <w:kinsoku/>
        <w:wordWrap/>
        <w:overflowPunct/>
        <w:topLinePunct w:val="0"/>
        <w:bidi w:val="0"/>
        <w:spacing w:line="300" w:lineRule="auto"/>
        <w:ind w:left="420" w:left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3）上课时请把手机或其他通讯设备调整为</w:t>
      </w:r>
      <w:r>
        <w:rPr>
          <w:rFonts w:hint="eastAsia" w:ascii="仿宋" w:hAnsi="仿宋" w:eastAsia="仿宋" w:cs="仿宋"/>
          <w:color w:val="000000" w:themeColor="text1"/>
          <w:sz w:val="21"/>
          <w:szCs w:val="21"/>
          <w:highlight w:val="none"/>
          <w:lang w:eastAsia="zh-CN"/>
          <w14:textFill>
            <w14:solidFill>
              <w14:schemeClr w14:val="tx1"/>
            </w14:solidFill>
          </w14:textFill>
        </w:rPr>
        <w:t>振动模式</w:t>
      </w:r>
      <w:r>
        <w:rPr>
          <w:rFonts w:hint="eastAsia" w:ascii="仿宋" w:hAnsi="仿宋" w:eastAsia="仿宋" w:cs="仿宋"/>
          <w:color w:val="000000" w:themeColor="text1"/>
          <w:sz w:val="21"/>
          <w:szCs w:val="21"/>
          <w:highlight w:val="none"/>
          <w14:textFill>
            <w14:solidFill>
              <w14:schemeClr w14:val="tx1"/>
            </w14:solidFill>
          </w14:textFill>
        </w:rPr>
        <w:t>，并到教室外面接听电话；</w:t>
      </w:r>
    </w:p>
    <w:p w14:paraId="45DD098F">
      <w:pPr>
        <w:kinsoku/>
        <w:wordWrap/>
        <w:overflowPunct/>
        <w:topLinePunct w:val="0"/>
        <w:bidi w:val="0"/>
        <w:spacing w:line="300" w:lineRule="auto"/>
        <w:ind w:left="420" w:left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4）老师讲课时，不能</w:t>
      </w:r>
      <w:r>
        <w:rPr>
          <w:rFonts w:hint="eastAsia" w:ascii="仿宋" w:hAnsi="仿宋" w:eastAsia="仿宋" w:cs="仿宋"/>
          <w:color w:val="000000" w:themeColor="text1"/>
          <w:sz w:val="21"/>
          <w:szCs w:val="21"/>
          <w:highlight w:val="none"/>
          <w:lang w:eastAsia="zh-CN"/>
          <w14:textFill>
            <w14:solidFill>
              <w14:schemeClr w14:val="tx1"/>
            </w14:solidFill>
          </w14:textFill>
        </w:rPr>
        <w:t>私下</w:t>
      </w:r>
      <w:r>
        <w:rPr>
          <w:rFonts w:hint="eastAsia" w:ascii="仿宋" w:hAnsi="仿宋" w:eastAsia="仿宋" w:cs="仿宋"/>
          <w:color w:val="000000" w:themeColor="text1"/>
          <w:sz w:val="21"/>
          <w:szCs w:val="21"/>
          <w:highlight w:val="none"/>
          <w14:textFill>
            <w14:solidFill>
              <w14:schemeClr w14:val="tx1"/>
            </w14:solidFill>
          </w14:textFill>
        </w:rPr>
        <w:t>讨论其他问题或窃窃私语，如有疑问先记录下来，课下提交给老师；</w:t>
      </w:r>
    </w:p>
    <w:p w14:paraId="4BC479E8">
      <w:pPr>
        <w:kinsoku/>
        <w:wordWrap/>
        <w:overflowPunct/>
        <w:topLinePunct w:val="0"/>
        <w:bidi w:val="0"/>
        <w:spacing w:line="300" w:lineRule="auto"/>
        <w:ind w:left="420" w:left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5）系统出现暂时故障时，应配合技术人员给予及时排除，而不能以此为由扰乱课堂秩序；</w:t>
      </w:r>
    </w:p>
    <w:p w14:paraId="4B8593A5">
      <w:pPr>
        <w:kinsoku/>
        <w:wordWrap/>
        <w:overflowPunct/>
        <w:topLinePunct w:val="0"/>
        <w:bidi w:val="0"/>
        <w:spacing w:line="300" w:lineRule="auto"/>
        <w:ind w:left="420" w:leftChars="200"/>
        <w:contextualSpacing/>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6）遵守培训考试规定，保证严肃性；</w:t>
      </w:r>
    </w:p>
    <w:p w14:paraId="5E7DFD07">
      <w:pPr>
        <w:pStyle w:val="2"/>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202" w:name="_Toc13583"/>
      <w:bookmarkStart w:id="203" w:name="_Toc5281099"/>
      <w:bookmarkStart w:id="204" w:name="_Toc4751284"/>
      <w:bookmarkStart w:id="205" w:name="_Toc2245"/>
      <w:bookmarkStart w:id="206" w:name="_Toc10629"/>
      <w:bookmarkStart w:id="207" w:name="_Toc5833"/>
      <w:bookmarkStart w:id="208" w:name="_Toc449022289"/>
      <w:bookmarkStart w:id="209" w:name="_Toc12464"/>
      <w:bookmarkStart w:id="210" w:name="_Toc6840931"/>
      <w:bookmarkStart w:id="211" w:name="_Toc5693"/>
      <w:r>
        <w:rPr>
          <w:rFonts w:hint="eastAsia" w:ascii="仿宋" w:hAnsi="仿宋" w:eastAsia="仿宋" w:cs="仿宋"/>
          <w:color w:val="000000" w:themeColor="text1"/>
          <w:sz w:val="21"/>
          <w:szCs w:val="21"/>
          <w:highlight w:val="none"/>
          <w14:textFill>
            <w14:solidFill>
              <w14:schemeClr w14:val="tx1"/>
            </w14:solidFill>
          </w14:textFill>
        </w:rPr>
        <w:t>6、培训特色</w:t>
      </w:r>
      <w:bookmarkEnd w:id="202"/>
      <w:bookmarkEnd w:id="203"/>
      <w:bookmarkEnd w:id="204"/>
      <w:bookmarkEnd w:id="205"/>
      <w:bookmarkEnd w:id="206"/>
      <w:bookmarkEnd w:id="207"/>
      <w:bookmarkEnd w:id="208"/>
      <w:bookmarkEnd w:id="209"/>
      <w:bookmarkEnd w:id="210"/>
      <w:bookmarkEnd w:id="211"/>
    </w:p>
    <w:p w14:paraId="2260D873">
      <w:pPr>
        <w:kinsoku/>
        <w:wordWrap/>
        <w:overflowPunct/>
        <w:topLinePunct w:val="0"/>
        <w:bidi w:val="0"/>
        <w:spacing w:line="300" w:lineRule="auto"/>
        <w:rPr>
          <w:rFonts w:hint="eastAsia" w:ascii="仿宋" w:hAnsi="仿宋" w:eastAsia="仿宋" w:cs="仿宋"/>
          <w:b/>
          <w:color w:val="000000" w:themeColor="text1"/>
          <w:sz w:val="21"/>
          <w:szCs w:val="21"/>
          <w:highlight w:val="none"/>
          <w14:textFill>
            <w14:solidFill>
              <w14:schemeClr w14:val="tx1"/>
            </w14:solidFill>
          </w14:textFill>
        </w:rPr>
      </w:pPr>
      <w:bookmarkStart w:id="212" w:name="_Ref396812516"/>
      <w:bookmarkStart w:id="213" w:name="_Toc396812488"/>
      <w:bookmarkStart w:id="214" w:name="_Ref396812515"/>
      <w:bookmarkStart w:id="215" w:name="_Toc388026142"/>
      <w:bookmarkStart w:id="216" w:name="_Toc390247421"/>
      <w:r>
        <w:rPr>
          <w:rFonts w:hint="eastAsia" w:ascii="仿宋" w:hAnsi="仿宋" w:eastAsia="仿宋" w:cs="仿宋"/>
          <w:b/>
          <w:color w:val="000000" w:themeColor="text1"/>
          <w:sz w:val="21"/>
          <w:szCs w:val="21"/>
          <w:highlight w:val="none"/>
          <w14:textFill>
            <w14:solidFill>
              <w14:schemeClr w14:val="tx1"/>
            </w14:solidFill>
          </w14:textFill>
        </w:rPr>
        <w:t>（1）培训策略</w:t>
      </w:r>
      <w:bookmarkEnd w:id="212"/>
      <w:bookmarkEnd w:id="213"/>
      <w:bookmarkEnd w:id="214"/>
      <w:bookmarkEnd w:id="215"/>
      <w:bookmarkEnd w:id="216"/>
    </w:p>
    <w:p w14:paraId="785C849F">
      <w:pPr>
        <w:kinsoku/>
        <w:wordWrap/>
        <w:overflowPunct/>
        <w:topLinePunct w:val="0"/>
        <w:bidi w:val="0"/>
        <w:spacing w:line="300" w:lineRule="auto"/>
        <w:ind w:firstLine="367" w:firstLineChars="175"/>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建议在项目实施过程中种子管理站能制定对口人，保证对口人项目全过程参与，以便保障有效的知识传递和技术服务。</w:t>
      </w:r>
    </w:p>
    <w:p w14:paraId="1058C798">
      <w:pPr>
        <w:kinsoku/>
        <w:wordWrap/>
        <w:overflowPunct/>
        <w:topLinePunct w:val="0"/>
        <w:bidi w:val="0"/>
        <w:spacing w:line="300" w:lineRule="auto"/>
        <w:rPr>
          <w:rFonts w:hint="eastAsia" w:ascii="仿宋" w:hAnsi="仿宋" w:eastAsia="仿宋" w:cs="仿宋"/>
          <w:b/>
          <w:color w:val="000000" w:themeColor="text1"/>
          <w:sz w:val="21"/>
          <w:szCs w:val="21"/>
          <w:highlight w:val="none"/>
          <w14:textFill>
            <w14:solidFill>
              <w14:schemeClr w14:val="tx1"/>
            </w14:solidFill>
          </w14:textFill>
        </w:rPr>
      </w:pPr>
      <w:bookmarkStart w:id="217" w:name="_Toc291890666"/>
      <w:bookmarkStart w:id="218" w:name="_Toc236305621"/>
      <w:bookmarkStart w:id="219" w:name="_Toc229376615"/>
      <w:bookmarkStart w:id="220" w:name="_Toc341371350"/>
      <w:bookmarkStart w:id="221" w:name="_Toc331148837"/>
      <w:bookmarkStart w:id="222" w:name="_Toc236134693"/>
      <w:bookmarkStart w:id="223" w:name="_Toc156927218"/>
      <w:bookmarkStart w:id="224" w:name="_Toc291672680"/>
      <w:bookmarkStart w:id="225" w:name="_Toc383526940"/>
      <w:bookmarkStart w:id="226" w:name="_Toc238441267"/>
      <w:bookmarkStart w:id="227" w:name="_Toc342296337"/>
      <w:bookmarkStart w:id="228" w:name="_Toc388026144"/>
      <w:bookmarkStart w:id="229" w:name="_Toc390247423"/>
      <w:bookmarkStart w:id="230" w:name="_Toc341284419"/>
      <w:r>
        <w:rPr>
          <w:rFonts w:hint="eastAsia" w:ascii="仿宋" w:hAnsi="仿宋" w:eastAsia="仿宋" w:cs="仿宋"/>
          <w:b/>
          <w:color w:val="000000" w:themeColor="text1"/>
          <w:sz w:val="21"/>
          <w:szCs w:val="21"/>
          <w:highlight w:val="none"/>
          <w14:textFill>
            <w14:solidFill>
              <w14:schemeClr w14:val="tx1"/>
            </w14:solidFill>
          </w14:textFill>
        </w:rPr>
        <w:t>（2）采用授课、练习、考核、领导贴身培训等方式</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8EDC133">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每一期培训班的内容将设置多个环节，每一个环节都分为授课、练习和考核三部分，授课部分将按照培训讲义对当期培训班所设置的内容进行详细的介绍，并配有培训教材以做参考。练习部分要求学员按照事先准备好的案例进行实际操作，以加强对所学知识的记忆和理解。并且在练习中还要实现教师和学员的互动，不但对学员的操作进行辅导，还将对学员们提出的疑问予以回答。</w:t>
      </w:r>
    </w:p>
    <w:p w14:paraId="14199719">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之所以增加考核部分有以下两个目标需要完成。所以此部分需要种子管理站支持和配合。</w:t>
      </w:r>
    </w:p>
    <w:p w14:paraId="34C65E31">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通过培训、练习后的考核，掌握参加培训人员对系统的掌握情况，可以有针对性的安排再培训。以达到参加培训人员全掌握的目标（即便在项目终验、服务期过后，种子管理站人员仍然能够对项目进行高效运维，保证知识传递的有效性）。</w:t>
      </w:r>
    </w:p>
    <w:p w14:paraId="39185BE9">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通过培训成绩，像种子管理站领导汇报我们项目进行的成果。以达到种子管理站领导及时掌握项目实际实施情况的目标。</w:t>
      </w:r>
    </w:p>
    <w:p w14:paraId="768AD8E0">
      <w:pPr>
        <w:kinsoku/>
        <w:wordWrap/>
        <w:overflowPunct/>
        <w:topLinePunct w:val="0"/>
        <w:bidi w:val="0"/>
        <w:spacing w:line="300" w:lineRule="auto"/>
        <w:rPr>
          <w:rFonts w:hint="eastAsia" w:ascii="仿宋" w:hAnsi="仿宋" w:eastAsia="仿宋" w:cs="仿宋"/>
          <w:b/>
          <w:color w:val="000000" w:themeColor="text1"/>
          <w:sz w:val="21"/>
          <w:szCs w:val="21"/>
          <w:highlight w:val="none"/>
          <w14:textFill>
            <w14:solidFill>
              <w14:schemeClr w14:val="tx1"/>
            </w14:solidFill>
          </w14:textFill>
        </w:rPr>
      </w:pPr>
      <w:bookmarkStart w:id="231" w:name="_Toc331148838"/>
      <w:bookmarkStart w:id="232" w:name="_Toc341284420"/>
      <w:bookmarkStart w:id="233" w:name="_Toc236134694"/>
      <w:bookmarkStart w:id="234" w:name="_Toc388026145"/>
      <w:bookmarkStart w:id="235" w:name="_Toc390247424"/>
      <w:bookmarkStart w:id="236" w:name="_Toc238441268"/>
      <w:bookmarkStart w:id="237" w:name="_Toc236305622"/>
      <w:bookmarkStart w:id="238" w:name="_Toc229376616"/>
      <w:bookmarkStart w:id="239" w:name="_Toc383526941"/>
      <w:bookmarkStart w:id="240" w:name="_Toc341371351"/>
      <w:bookmarkStart w:id="241" w:name="_Toc291890667"/>
      <w:bookmarkStart w:id="242" w:name="_Toc291672681"/>
      <w:bookmarkStart w:id="243" w:name="_Toc342296338"/>
      <w:bookmarkStart w:id="244" w:name="_Toc156927219"/>
      <w:r>
        <w:rPr>
          <w:rFonts w:hint="eastAsia" w:ascii="仿宋" w:hAnsi="仿宋" w:eastAsia="仿宋" w:cs="仿宋"/>
          <w:b/>
          <w:color w:val="000000" w:themeColor="text1"/>
          <w:sz w:val="21"/>
          <w:szCs w:val="21"/>
          <w:highlight w:val="none"/>
          <w14:textFill>
            <w14:solidFill>
              <w14:schemeClr w14:val="tx1"/>
            </w14:solidFill>
          </w14:textFill>
        </w:rPr>
        <w:t>（3）提供多种形式的培训教材</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7AF0468">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提供多种形式、全面和标准的文档给用户，其形式包括：电子文档、印刷品、光盘，以为其后续稳定应用系统的保障，其中电子文档将放在系统中供随时下载。</w:t>
      </w:r>
    </w:p>
    <w:p w14:paraId="2048ED83">
      <w:pPr>
        <w:kinsoku/>
        <w:wordWrap/>
        <w:overflowPunct/>
        <w:topLinePunct w:val="0"/>
        <w:bidi w:val="0"/>
        <w:spacing w:line="300" w:lineRule="auto"/>
        <w:rPr>
          <w:rFonts w:hint="eastAsia" w:ascii="仿宋" w:hAnsi="仿宋" w:eastAsia="仿宋" w:cs="仿宋"/>
          <w:b/>
          <w:color w:val="000000" w:themeColor="text1"/>
          <w:sz w:val="21"/>
          <w:szCs w:val="21"/>
          <w:highlight w:val="none"/>
          <w14:textFill>
            <w14:solidFill>
              <w14:schemeClr w14:val="tx1"/>
            </w14:solidFill>
          </w14:textFill>
        </w:rPr>
      </w:pPr>
      <w:bookmarkStart w:id="245" w:name="_Toc236134695"/>
      <w:bookmarkStart w:id="246" w:name="_Toc236305623"/>
      <w:bookmarkStart w:id="247" w:name="_Toc291890668"/>
      <w:bookmarkStart w:id="248" w:name="_Toc229376617"/>
      <w:bookmarkStart w:id="249" w:name="_Toc341284421"/>
      <w:bookmarkStart w:id="250" w:name="_Toc390247425"/>
      <w:bookmarkStart w:id="251" w:name="_Toc331148839"/>
      <w:bookmarkStart w:id="252" w:name="_Toc291672682"/>
      <w:bookmarkStart w:id="253" w:name="_Toc238441269"/>
      <w:bookmarkStart w:id="254" w:name="_Toc341371352"/>
      <w:bookmarkStart w:id="255" w:name="_Toc388026146"/>
      <w:bookmarkStart w:id="256" w:name="_Toc156927220"/>
      <w:bookmarkStart w:id="257" w:name="_Toc342296339"/>
      <w:bookmarkStart w:id="258" w:name="_Toc383526942"/>
      <w:r>
        <w:rPr>
          <w:rFonts w:hint="eastAsia" w:ascii="仿宋" w:hAnsi="仿宋" w:eastAsia="仿宋" w:cs="仿宋"/>
          <w:b/>
          <w:color w:val="000000" w:themeColor="text1"/>
          <w:sz w:val="21"/>
          <w:szCs w:val="21"/>
          <w:highlight w:val="none"/>
          <w14:textFill>
            <w14:solidFill>
              <w14:schemeClr w14:val="tx1"/>
            </w14:solidFill>
          </w14:textFill>
        </w:rPr>
        <w:t>（4）利用考核验收加强学习效果</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8CC8B5D">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为保证最终的学习效果，将为每一期培训班布置考试题目，以验收学员的学习成果。保证培训质量。</w:t>
      </w:r>
    </w:p>
    <w:p w14:paraId="4A0B4148">
      <w:pPr>
        <w:kinsoku/>
        <w:wordWrap/>
        <w:overflowPunct/>
        <w:topLinePunct w:val="0"/>
        <w:bidi w:val="0"/>
        <w:spacing w:line="300" w:lineRule="auto"/>
        <w:rPr>
          <w:rFonts w:hint="eastAsia" w:ascii="仿宋" w:hAnsi="仿宋" w:eastAsia="仿宋" w:cs="仿宋"/>
          <w:b/>
          <w:color w:val="000000" w:themeColor="text1"/>
          <w:sz w:val="21"/>
          <w:szCs w:val="21"/>
          <w:highlight w:val="none"/>
          <w14:textFill>
            <w14:solidFill>
              <w14:schemeClr w14:val="tx1"/>
            </w14:solidFill>
          </w14:textFill>
        </w:rPr>
      </w:pPr>
      <w:bookmarkStart w:id="259" w:name="_Toc396812490"/>
      <w:r>
        <w:rPr>
          <w:rFonts w:hint="eastAsia" w:ascii="仿宋" w:hAnsi="仿宋" w:eastAsia="仿宋" w:cs="仿宋"/>
          <w:b/>
          <w:color w:val="000000" w:themeColor="text1"/>
          <w:sz w:val="21"/>
          <w:szCs w:val="21"/>
          <w:highlight w:val="none"/>
          <w14:textFill>
            <w14:solidFill>
              <w14:schemeClr w14:val="tx1"/>
            </w14:solidFill>
          </w14:textFill>
        </w:rPr>
        <w:t>（5）监控培训效果</w:t>
      </w:r>
      <w:bookmarkEnd w:id="259"/>
    </w:p>
    <w:p w14:paraId="2CD44079">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在以上培训计划实施的过程中，我们认为最复杂，风险最大的培训工作就是系统上线前阶段最终用户的培训。因为各位最终用户能否具备正常使用系统的操作技能直接影响系统能否上线。同时，由于参与培训的人员很多，为保证此项培训工作质量，实现培训目标，我们制定了该项培训工作的过程实现方案。</w:t>
      </w:r>
    </w:p>
    <w:p w14:paraId="65BA2936">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我们把完成该项培训工作的过程分为三步：</w:t>
      </w:r>
    </w:p>
    <w:p w14:paraId="31CBF2DB">
      <w:pPr>
        <w:numPr>
          <w:ilvl w:val="0"/>
          <w:numId w:val="9"/>
        </w:numPr>
        <w:kinsoku/>
        <w:wordWrap/>
        <w:overflowPunct/>
        <w:topLinePunct w:val="0"/>
        <w:bidi w:val="0"/>
        <w:spacing w:line="300" w:lineRule="auto"/>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培训准备</w:t>
      </w:r>
    </w:p>
    <w:p w14:paraId="78308728">
      <w:pPr>
        <w:numPr>
          <w:ilvl w:val="0"/>
          <w:numId w:val="9"/>
        </w:numPr>
        <w:kinsoku/>
        <w:wordWrap/>
        <w:overflowPunct/>
        <w:topLinePunct w:val="0"/>
        <w:bidi w:val="0"/>
        <w:spacing w:line="300" w:lineRule="auto"/>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培训实施</w:t>
      </w:r>
    </w:p>
    <w:p w14:paraId="78BE144C">
      <w:pPr>
        <w:numPr>
          <w:ilvl w:val="0"/>
          <w:numId w:val="9"/>
        </w:numPr>
        <w:kinsoku/>
        <w:wordWrap/>
        <w:overflowPunct/>
        <w:topLinePunct w:val="0"/>
        <w:bidi w:val="0"/>
        <w:spacing w:line="300" w:lineRule="auto"/>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培训评估</w:t>
      </w:r>
    </w:p>
    <w:p w14:paraId="2F1D90BC">
      <w:pPr>
        <w:pStyle w:val="9"/>
        <w:kinsoku/>
        <w:wordWrap/>
        <w:overflowPunct/>
        <w:topLinePunct w:val="0"/>
        <w:bidi w:val="0"/>
        <w:spacing w:line="300" w:lineRule="auto"/>
        <w:rPr>
          <w:rFonts w:hint="eastAsia" w:ascii="仿宋" w:hAnsi="仿宋" w:eastAsia="仿宋" w:cs="仿宋"/>
          <w:b/>
          <w:color w:val="000000" w:themeColor="text1"/>
          <w:sz w:val="21"/>
          <w:szCs w:val="21"/>
          <w:highlight w:val="none"/>
          <w14:textFill>
            <w14:solidFill>
              <w14:schemeClr w14:val="tx1"/>
            </w14:solidFill>
          </w14:textFill>
        </w:rPr>
      </w:pPr>
      <w:bookmarkStart w:id="260" w:name="_Toc390247427"/>
      <w:bookmarkStart w:id="261" w:name="_Toc370801234"/>
      <w:bookmarkStart w:id="262" w:name="_Toc388026148"/>
      <w:bookmarkStart w:id="263" w:name="_Toc383526944"/>
      <w:bookmarkStart w:id="264" w:name="_Toc368586711"/>
      <w:r>
        <w:rPr>
          <w:rFonts w:hint="eastAsia" w:ascii="仿宋" w:hAnsi="仿宋" w:eastAsia="仿宋" w:cs="仿宋"/>
          <w:b/>
          <w:color w:val="000000" w:themeColor="text1"/>
          <w:sz w:val="21"/>
          <w:szCs w:val="21"/>
          <w:highlight w:val="none"/>
          <w14:textFill>
            <w14:solidFill>
              <w14:schemeClr w14:val="tx1"/>
            </w14:solidFill>
          </w14:textFill>
        </w:rPr>
        <w:t>A.培训准备</w:t>
      </w:r>
      <w:bookmarkEnd w:id="260"/>
      <w:bookmarkEnd w:id="261"/>
      <w:bookmarkEnd w:id="262"/>
      <w:bookmarkEnd w:id="263"/>
      <w:bookmarkEnd w:id="264"/>
    </w:p>
    <w:p w14:paraId="1C465025">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培训准备阶段的工作成果就是要生成正式的培训通知并发放到相关参与培训的人员、确定培训设备与资料的配置清单、安装完成培训系统、确定培训制度、培训人员报到等。具体内容如下：</w:t>
      </w:r>
    </w:p>
    <w:p w14:paraId="507D58BB">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表一：培训通知</w:t>
      </w:r>
    </w:p>
    <w:tbl>
      <w:tblPr>
        <w:tblStyle w:val="6"/>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075"/>
        <w:gridCol w:w="2152"/>
        <w:gridCol w:w="1076"/>
        <w:gridCol w:w="1821"/>
        <w:gridCol w:w="2307"/>
      </w:tblGrid>
      <w:tr w14:paraId="71D8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0" w:type="dxa"/>
            <w:gridSpan w:val="6"/>
            <w:tcBorders>
              <w:top w:val="single" w:color="auto" w:sz="4" w:space="0"/>
              <w:left w:val="single" w:color="auto" w:sz="4" w:space="0"/>
              <w:bottom w:val="single" w:color="auto" w:sz="4" w:space="0"/>
              <w:right w:val="single" w:color="auto" w:sz="4" w:space="0"/>
            </w:tcBorders>
            <w:shd w:val="pct10" w:color="auto" w:fill="auto"/>
            <w:vAlign w:val="center"/>
          </w:tcPr>
          <w:p w14:paraId="73C1EE19">
            <w:pPr>
              <w:widowControl/>
              <w:kinsoku/>
              <w:wordWrap/>
              <w:overflowPunct/>
              <w:topLinePunct w:val="0"/>
              <w:bidi w:val="0"/>
              <w:spacing w:line="300" w:lineRule="auto"/>
              <w:ind w:firstLine="420"/>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培训通知</w:t>
            </w:r>
          </w:p>
        </w:tc>
      </w:tr>
      <w:tr w14:paraId="2464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9" w:type="dxa"/>
            <w:tcBorders>
              <w:top w:val="single" w:color="auto" w:sz="4" w:space="0"/>
              <w:left w:val="single" w:color="auto" w:sz="4" w:space="0"/>
              <w:bottom w:val="single" w:color="auto" w:sz="4" w:space="0"/>
              <w:right w:val="single" w:color="auto" w:sz="4" w:space="0"/>
            </w:tcBorders>
            <w:shd w:val="pct10" w:color="auto" w:fill="auto"/>
            <w:vAlign w:val="center"/>
          </w:tcPr>
          <w:p w14:paraId="0E0568C1">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名称</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907EF9">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pct10" w:color="auto" w:fill="auto"/>
            <w:vAlign w:val="center"/>
          </w:tcPr>
          <w:p w14:paraId="4263B52E">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目的</w:t>
            </w:r>
          </w:p>
        </w:tc>
        <w:tc>
          <w:tcPr>
            <w:tcW w:w="4128" w:type="dxa"/>
            <w:gridSpan w:val="2"/>
            <w:tcBorders>
              <w:top w:val="single" w:color="auto" w:sz="4" w:space="0"/>
              <w:left w:val="single" w:color="auto" w:sz="4" w:space="0"/>
              <w:bottom w:val="single" w:color="auto" w:sz="4" w:space="0"/>
              <w:right w:val="single" w:color="auto" w:sz="4" w:space="0"/>
            </w:tcBorders>
            <w:vAlign w:val="center"/>
          </w:tcPr>
          <w:p w14:paraId="062A6B53">
            <w:pPr>
              <w:widowControl/>
              <w:kinsoku/>
              <w:wordWrap/>
              <w:overflowPunct/>
              <w:topLinePunct w:val="0"/>
              <w:bidi w:val="0"/>
              <w:spacing w:line="300" w:lineRule="auto"/>
              <w:ind w:firstLine="476" w:firstLineChars="227"/>
              <w:jc w:val="left"/>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6318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 w:type="dxa"/>
            <w:tcBorders>
              <w:top w:val="single" w:color="auto" w:sz="4" w:space="0"/>
              <w:left w:val="single" w:color="auto" w:sz="4" w:space="0"/>
              <w:bottom w:val="single" w:color="auto" w:sz="4" w:space="0"/>
              <w:right w:val="single" w:color="auto" w:sz="4" w:space="0"/>
            </w:tcBorders>
            <w:shd w:val="pct10" w:color="auto" w:fill="auto"/>
            <w:vAlign w:val="center"/>
          </w:tcPr>
          <w:p w14:paraId="2C04E951">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时间</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7793E1">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076" w:type="dxa"/>
            <w:tcBorders>
              <w:top w:val="single" w:color="auto" w:sz="4" w:space="0"/>
              <w:left w:val="single" w:color="auto" w:sz="4" w:space="0"/>
              <w:bottom w:val="single" w:color="auto" w:sz="4" w:space="0"/>
              <w:right w:val="single" w:color="auto" w:sz="4" w:space="0"/>
            </w:tcBorders>
            <w:shd w:val="pct10" w:color="auto" w:fill="auto"/>
            <w:vAlign w:val="center"/>
          </w:tcPr>
          <w:p w14:paraId="2D70F535">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地点</w:t>
            </w:r>
          </w:p>
        </w:tc>
        <w:tc>
          <w:tcPr>
            <w:tcW w:w="4128" w:type="dxa"/>
            <w:gridSpan w:val="2"/>
            <w:tcBorders>
              <w:top w:val="single" w:color="auto" w:sz="4" w:space="0"/>
              <w:left w:val="single" w:color="auto" w:sz="4" w:space="0"/>
              <w:bottom w:val="single" w:color="auto" w:sz="4" w:space="0"/>
              <w:right w:val="single" w:color="auto" w:sz="4" w:space="0"/>
            </w:tcBorders>
            <w:vAlign w:val="center"/>
          </w:tcPr>
          <w:p w14:paraId="617BBD41">
            <w:pPr>
              <w:widowControl/>
              <w:kinsoku/>
              <w:wordWrap/>
              <w:overflowPunct/>
              <w:topLinePunct w:val="0"/>
              <w:bidi w:val="0"/>
              <w:spacing w:line="300" w:lineRule="auto"/>
              <w:ind w:firstLine="476" w:firstLineChars="227"/>
              <w:jc w:val="left"/>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341D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vAlign w:val="center"/>
          </w:tcPr>
          <w:p w14:paraId="39279D5E">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培训对象</w:t>
            </w:r>
          </w:p>
        </w:tc>
        <w:tc>
          <w:tcPr>
            <w:tcW w:w="7356" w:type="dxa"/>
            <w:gridSpan w:val="4"/>
            <w:tcBorders>
              <w:top w:val="single" w:color="auto" w:sz="4" w:space="0"/>
              <w:left w:val="single" w:color="auto" w:sz="4" w:space="0"/>
              <w:bottom w:val="single" w:color="auto" w:sz="4" w:space="0"/>
              <w:right w:val="single" w:color="auto" w:sz="4" w:space="0"/>
            </w:tcBorders>
            <w:vAlign w:val="center"/>
          </w:tcPr>
          <w:p w14:paraId="3FCCEFEC">
            <w:pPr>
              <w:widowControl/>
              <w:kinsoku/>
              <w:wordWrap/>
              <w:overflowPunct/>
              <w:topLinePunct w:val="0"/>
              <w:bidi w:val="0"/>
              <w:spacing w:line="300" w:lineRule="auto"/>
              <w:ind w:firstLine="476" w:firstLineChars="227"/>
              <w:jc w:val="left"/>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3BC71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vAlign w:val="center"/>
          </w:tcPr>
          <w:p w14:paraId="5811C7BF">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事项</w:t>
            </w:r>
          </w:p>
        </w:tc>
        <w:tc>
          <w:tcPr>
            <w:tcW w:w="2152" w:type="dxa"/>
            <w:tcBorders>
              <w:top w:val="single" w:color="auto" w:sz="4" w:space="0"/>
              <w:left w:val="single" w:color="auto" w:sz="4" w:space="0"/>
              <w:bottom w:val="single" w:color="auto" w:sz="4" w:space="0"/>
              <w:right w:val="single" w:color="auto" w:sz="4" w:space="0"/>
            </w:tcBorders>
            <w:shd w:val="pct10" w:color="auto" w:fill="auto"/>
            <w:vAlign w:val="center"/>
          </w:tcPr>
          <w:p w14:paraId="3D28D802">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时间</w:t>
            </w:r>
          </w:p>
        </w:tc>
        <w:tc>
          <w:tcPr>
            <w:tcW w:w="2897" w:type="dxa"/>
            <w:gridSpan w:val="2"/>
            <w:tcBorders>
              <w:top w:val="single" w:color="auto" w:sz="4" w:space="0"/>
              <w:left w:val="single" w:color="auto" w:sz="4" w:space="0"/>
              <w:bottom w:val="single" w:color="auto" w:sz="4" w:space="0"/>
              <w:right w:val="single" w:color="auto" w:sz="4" w:space="0"/>
            </w:tcBorders>
            <w:shd w:val="pct10" w:color="auto" w:fill="auto"/>
            <w:vAlign w:val="center"/>
          </w:tcPr>
          <w:p w14:paraId="62F39499">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人员要求</w:t>
            </w:r>
          </w:p>
        </w:tc>
        <w:tc>
          <w:tcPr>
            <w:tcW w:w="2307" w:type="dxa"/>
            <w:tcBorders>
              <w:top w:val="single" w:color="auto" w:sz="4" w:space="0"/>
              <w:left w:val="single" w:color="auto" w:sz="4" w:space="0"/>
              <w:bottom w:val="single" w:color="auto" w:sz="4" w:space="0"/>
              <w:right w:val="single" w:color="auto" w:sz="4" w:space="0"/>
            </w:tcBorders>
            <w:shd w:val="pct10" w:color="auto" w:fill="auto"/>
            <w:vAlign w:val="center"/>
          </w:tcPr>
          <w:p w14:paraId="3598A38D">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备注</w:t>
            </w:r>
          </w:p>
        </w:tc>
      </w:tr>
      <w:tr w14:paraId="2836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vAlign w:val="center"/>
          </w:tcPr>
          <w:p w14:paraId="5FADF176">
            <w:pPr>
              <w:widowControl/>
              <w:kinsoku/>
              <w:wordWrap/>
              <w:overflowPunct/>
              <w:topLinePunct w:val="0"/>
              <w:bidi w:val="0"/>
              <w:spacing w:line="300" w:lineRule="auto"/>
              <w:ind w:firstLine="476" w:firstLineChars="227"/>
              <w:jc w:val="left"/>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2152" w:type="dxa"/>
            <w:tcBorders>
              <w:top w:val="single" w:color="auto" w:sz="4" w:space="0"/>
              <w:left w:val="single" w:color="auto" w:sz="4" w:space="0"/>
              <w:bottom w:val="single" w:color="auto" w:sz="4" w:space="0"/>
              <w:right w:val="single" w:color="auto" w:sz="4" w:space="0"/>
            </w:tcBorders>
            <w:vAlign w:val="center"/>
          </w:tcPr>
          <w:p w14:paraId="2F153600">
            <w:pPr>
              <w:widowControl/>
              <w:kinsoku/>
              <w:wordWrap/>
              <w:overflowPunct/>
              <w:topLinePunct w:val="0"/>
              <w:bidi w:val="0"/>
              <w:spacing w:line="300" w:lineRule="auto"/>
              <w:ind w:firstLine="476" w:firstLineChars="227"/>
              <w:jc w:val="left"/>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2897" w:type="dxa"/>
            <w:gridSpan w:val="2"/>
            <w:tcBorders>
              <w:top w:val="single" w:color="auto" w:sz="4" w:space="0"/>
              <w:left w:val="single" w:color="auto" w:sz="4" w:space="0"/>
              <w:bottom w:val="single" w:color="auto" w:sz="4" w:space="0"/>
              <w:right w:val="single" w:color="auto" w:sz="4" w:space="0"/>
            </w:tcBorders>
            <w:vAlign w:val="center"/>
          </w:tcPr>
          <w:p w14:paraId="5BC57AAF">
            <w:pPr>
              <w:widowControl/>
              <w:kinsoku/>
              <w:wordWrap/>
              <w:overflowPunct/>
              <w:topLinePunct w:val="0"/>
              <w:bidi w:val="0"/>
              <w:spacing w:line="300" w:lineRule="auto"/>
              <w:ind w:firstLine="476" w:firstLineChars="227"/>
              <w:jc w:val="left"/>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2307" w:type="dxa"/>
            <w:tcBorders>
              <w:top w:val="single" w:color="auto" w:sz="4" w:space="0"/>
              <w:left w:val="single" w:color="auto" w:sz="4" w:space="0"/>
              <w:bottom w:val="single" w:color="auto" w:sz="4" w:space="0"/>
              <w:right w:val="single" w:color="auto" w:sz="4" w:space="0"/>
            </w:tcBorders>
            <w:vAlign w:val="center"/>
          </w:tcPr>
          <w:p w14:paraId="42007FDD">
            <w:pPr>
              <w:widowControl/>
              <w:kinsoku/>
              <w:wordWrap/>
              <w:overflowPunct/>
              <w:topLinePunct w:val="0"/>
              <w:bidi w:val="0"/>
              <w:spacing w:line="300" w:lineRule="auto"/>
              <w:ind w:firstLine="476" w:firstLineChars="227"/>
              <w:jc w:val="left"/>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6F41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0" w:type="dxa"/>
            <w:gridSpan w:val="6"/>
            <w:tcBorders>
              <w:top w:val="single" w:color="auto" w:sz="4" w:space="0"/>
              <w:left w:val="single" w:color="auto" w:sz="4" w:space="0"/>
              <w:bottom w:val="single" w:color="auto" w:sz="4" w:space="0"/>
              <w:right w:val="single" w:color="auto" w:sz="4" w:space="0"/>
            </w:tcBorders>
            <w:vAlign w:val="center"/>
          </w:tcPr>
          <w:p w14:paraId="3E317281">
            <w:pPr>
              <w:widowControl/>
              <w:kinsoku/>
              <w:wordWrap/>
              <w:overflowPunct/>
              <w:topLinePunct w:val="0"/>
              <w:bidi w:val="0"/>
              <w:spacing w:line="300" w:lineRule="auto"/>
              <w:jc w:val="left"/>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其他事项：</w:t>
            </w:r>
          </w:p>
          <w:p w14:paraId="0A029E40">
            <w:pPr>
              <w:widowControl/>
              <w:kinsoku/>
              <w:wordWrap/>
              <w:overflowPunct/>
              <w:topLinePunct w:val="0"/>
              <w:bidi w:val="0"/>
              <w:spacing w:line="300" w:lineRule="auto"/>
              <w:jc w:val="left"/>
              <w:rPr>
                <w:rFonts w:hint="eastAsia" w:ascii="仿宋" w:hAnsi="仿宋" w:eastAsia="仿宋" w:cs="仿宋"/>
                <w:color w:val="000000" w:themeColor="text1"/>
                <w:sz w:val="21"/>
                <w:szCs w:val="21"/>
                <w:highlight w:val="none"/>
                <w:lang w:val="zh-CN"/>
                <w14:textFill>
                  <w14:solidFill>
                    <w14:schemeClr w14:val="tx1"/>
                  </w14:solidFill>
                </w14:textFill>
              </w:rPr>
            </w:pPr>
          </w:p>
          <w:p w14:paraId="217DB97F">
            <w:pPr>
              <w:widowControl/>
              <w:kinsoku/>
              <w:wordWrap/>
              <w:overflowPunct/>
              <w:topLinePunct w:val="0"/>
              <w:bidi w:val="0"/>
              <w:spacing w:line="300" w:lineRule="auto"/>
              <w:ind w:firstLine="476" w:firstLineChars="227"/>
              <w:jc w:val="left"/>
              <w:rPr>
                <w:rFonts w:hint="eastAsia" w:ascii="仿宋" w:hAnsi="仿宋" w:eastAsia="仿宋" w:cs="仿宋"/>
                <w:color w:val="000000" w:themeColor="text1"/>
                <w:sz w:val="21"/>
                <w:szCs w:val="21"/>
                <w:highlight w:val="none"/>
                <w:lang w:val="zh-CN"/>
                <w14:textFill>
                  <w14:solidFill>
                    <w14:schemeClr w14:val="tx1"/>
                  </w14:solidFill>
                </w14:textFill>
              </w:rPr>
            </w:pPr>
          </w:p>
        </w:tc>
      </w:tr>
    </w:tbl>
    <w:p w14:paraId="75D49A76">
      <w:pPr>
        <w:pageBreakBefore/>
        <w:kinsoku/>
        <w:wordWrap/>
        <w:overflowPunct/>
        <w:topLinePunct w:val="0"/>
        <w:bidi w:val="0"/>
        <w:spacing w:line="300" w:lineRule="auto"/>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表二：培训配置清单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490"/>
        <w:gridCol w:w="1230"/>
        <w:gridCol w:w="1245"/>
        <w:gridCol w:w="995"/>
      </w:tblGrid>
      <w:tr w14:paraId="56E5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847" w:type="dxa"/>
            <w:tcBorders>
              <w:top w:val="single" w:color="auto" w:sz="4" w:space="0"/>
              <w:left w:val="single" w:color="auto" w:sz="4" w:space="0"/>
              <w:bottom w:val="single" w:color="auto" w:sz="4" w:space="0"/>
              <w:right w:val="single" w:color="auto" w:sz="4" w:space="0"/>
            </w:tcBorders>
            <w:shd w:val="pct10" w:color="auto" w:fill="auto"/>
            <w:vAlign w:val="center"/>
          </w:tcPr>
          <w:p w14:paraId="78369108">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配置项</w:t>
            </w:r>
          </w:p>
        </w:tc>
        <w:tc>
          <w:tcPr>
            <w:tcW w:w="2490" w:type="dxa"/>
            <w:tcBorders>
              <w:top w:val="single" w:color="auto" w:sz="4" w:space="0"/>
              <w:left w:val="single" w:color="auto" w:sz="4" w:space="0"/>
              <w:bottom w:val="single" w:color="auto" w:sz="4" w:space="0"/>
              <w:right w:val="single" w:color="auto" w:sz="4" w:space="0"/>
            </w:tcBorders>
            <w:shd w:val="pct10" w:color="auto" w:fill="auto"/>
            <w:vAlign w:val="center"/>
          </w:tcPr>
          <w:p w14:paraId="6066DCF6">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内容要求</w:t>
            </w:r>
          </w:p>
        </w:tc>
        <w:tc>
          <w:tcPr>
            <w:tcW w:w="1230" w:type="dxa"/>
            <w:tcBorders>
              <w:top w:val="single" w:color="auto" w:sz="4" w:space="0"/>
              <w:left w:val="single" w:color="auto" w:sz="4" w:space="0"/>
              <w:bottom w:val="single" w:color="auto" w:sz="4" w:space="0"/>
              <w:right w:val="single" w:color="auto" w:sz="4" w:space="0"/>
            </w:tcBorders>
            <w:shd w:val="pct10" w:color="auto" w:fill="auto"/>
            <w:vAlign w:val="center"/>
          </w:tcPr>
          <w:p w14:paraId="6537A959">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责任人</w:t>
            </w:r>
          </w:p>
        </w:tc>
        <w:tc>
          <w:tcPr>
            <w:tcW w:w="1245" w:type="dxa"/>
            <w:tcBorders>
              <w:top w:val="single" w:color="auto" w:sz="4" w:space="0"/>
              <w:left w:val="single" w:color="auto" w:sz="4" w:space="0"/>
              <w:bottom w:val="single" w:color="auto" w:sz="4" w:space="0"/>
              <w:right w:val="single" w:color="auto" w:sz="4" w:space="0"/>
            </w:tcBorders>
            <w:shd w:val="pct10" w:color="auto" w:fill="auto"/>
            <w:vAlign w:val="center"/>
          </w:tcPr>
          <w:p w14:paraId="2368AF53">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截止时间</w:t>
            </w:r>
          </w:p>
        </w:tc>
        <w:tc>
          <w:tcPr>
            <w:tcW w:w="995" w:type="dxa"/>
            <w:tcBorders>
              <w:top w:val="single" w:color="auto" w:sz="4" w:space="0"/>
              <w:left w:val="single" w:color="auto" w:sz="4" w:space="0"/>
              <w:bottom w:val="single" w:color="auto" w:sz="4" w:space="0"/>
              <w:right w:val="single" w:color="auto" w:sz="4" w:space="0"/>
            </w:tcBorders>
            <w:shd w:val="pct10" w:color="auto" w:fill="auto"/>
            <w:vAlign w:val="center"/>
          </w:tcPr>
          <w:p w14:paraId="021ABD87">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完成否</w:t>
            </w:r>
          </w:p>
        </w:tc>
      </w:tr>
      <w:tr w14:paraId="0180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3E0FDC3A">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一、资料部分</w:t>
            </w:r>
          </w:p>
        </w:tc>
      </w:tr>
      <w:tr w14:paraId="31BF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97E0D62">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《测试培训手册》</w:t>
            </w:r>
          </w:p>
        </w:tc>
        <w:tc>
          <w:tcPr>
            <w:tcW w:w="2490" w:type="dxa"/>
            <w:tcBorders>
              <w:top w:val="single" w:color="auto" w:sz="4" w:space="0"/>
              <w:left w:val="single" w:color="auto" w:sz="4" w:space="0"/>
              <w:bottom w:val="single" w:color="auto" w:sz="4" w:space="0"/>
              <w:right w:val="single" w:color="auto" w:sz="4" w:space="0"/>
            </w:tcBorders>
            <w:vAlign w:val="center"/>
          </w:tcPr>
          <w:p w14:paraId="33D44BE2">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726FF5E4">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tcPr>
          <w:p w14:paraId="4C390F08">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440292A1">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0D84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2BEC194A">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《应用系统管理手册》</w:t>
            </w:r>
          </w:p>
        </w:tc>
        <w:tc>
          <w:tcPr>
            <w:tcW w:w="2490" w:type="dxa"/>
            <w:tcBorders>
              <w:top w:val="single" w:color="auto" w:sz="4" w:space="0"/>
              <w:left w:val="single" w:color="auto" w:sz="4" w:space="0"/>
              <w:bottom w:val="single" w:color="auto" w:sz="4" w:space="0"/>
              <w:right w:val="single" w:color="auto" w:sz="4" w:space="0"/>
            </w:tcBorders>
            <w:vAlign w:val="center"/>
          </w:tcPr>
          <w:p w14:paraId="1B92E56E">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6D78739E">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tcPr>
          <w:p w14:paraId="40F85941">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1284D8F9">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75E3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1CC4C61">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《应用系统操作手册》</w:t>
            </w:r>
          </w:p>
        </w:tc>
        <w:tc>
          <w:tcPr>
            <w:tcW w:w="2490" w:type="dxa"/>
            <w:tcBorders>
              <w:top w:val="single" w:color="auto" w:sz="4" w:space="0"/>
              <w:left w:val="single" w:color="auto" w:sz="4" w:space="0"/>
              <w:bottom w:val="single" w:color="auto" w:sz="4" w:space="0"/>
              <w:right w:val="single" w:color="auto" w:sz="4" w:space="0"/>
            </w:tcBorders>
            <w:vAlign w:val="center"/>
          </w:tcPr>
          <w:p w14:paraId="059B0526">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7214977">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tcPr>
          <w:p w14:paraId="430C18B9">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421D376A">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7715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D1FF5F1">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《系统软件管理及使用手册》</w:t>
            </w:r>
          </w:p>
        </w:tc>
        <w:tc>
          <w:tcPr>
            <w:tcW w:w="2490" w:type="dxa"/>
            <w:tcBorders>
              <w:top w:val="single" w:color="auto" w:sz="4" w:space="0"/>
              <w:left w:val="single" w:color="auto" w:sz="4" w:space="0"/>
              <w:bottom w:val="single" w:color="auto" w:sz="4" w:space="0"/>
              <w:right w:val="single" w:color="auto" w:sz="4" w:space="0"/>
            </w:tcBorders>
            <w:vAlign w:val="center"/>
          </w:tcPr>
          <w:p w14:paraId="0E2AFDCA">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256DCB1">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tcPr>
          <w:p w14:paraId="795D2F84">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06F4C428">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011C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482AD9">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培训讲义</w:t>
            </w:r>
          </w:p>
        </w:tc>
        <w:tc>
          <w:tcPr>
            <w:tcW w:w="2490" w:type="dxa"/>
            <w:tcBorders>
              <w:top w:val="single" w:color="auto" w:sz="4" w:space="0"/>
              <w:left w:val="single" w:color="auto" w:sz="4" w:space="0"/>
              <w:bottom w:val="single" w:color="auto" w:sz="4" w:space="0"/>
              <w:right w:val="single" w:color="auto" w:sz="4" w:space="0"/>
            </w:tcBorders>
            <w:vAlign w:val="center"/>
          </w:tcPr>
          <w:p w14:paraId="51A09548">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188BCBD1">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tcPr>
          <w:p w14:paraId="4616D08A">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744B2023">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24AD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493F4A89">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上机练习案例</w:t>
            </w:r>
          </w:p>
        </w:tc>
        <w:tc>
          <w:tcPr>
            <w:tcW w:w="2490" w:type="dxa"/>
            <w:tcBorders>
              <w:top w:val="single" w:color="auto" w:sz="4" w:space="0"/>
              <w:left w:val="single" w:color="auto" w:sz="4" w:space="0"/>
              <w:bottom w:val="single" w:color="auto" w:sz="4" w:space="0"/>
              <w:right w:val="single" w:color="auto" w:sz="4" w:space="0"/>
            </w:tcBorders>
            <w:vAlign w:val="center"/>
          </w:tcPr>
          <w:p w14:paraId="1C1B4170">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5CAA388F">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tcPr>
          <w:p w14:paraId="09489BBF">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418BA10A">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6B2B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AD33F99">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测试题目</w:t>
            </w:r>
          </w:p>
        </w:tc>
        <w:tc>
          <w:tcPr>
            <w:tcW w:w="2490" w:type="dxa"/>
            <w:tcBorders>
              <w:top w:val="single" w:color="auto" w:sz="4" w:space="0"/>
              <w:left w:val="single" w:color="auto" w:sz="4" w:space="0"/>
              <w:bottom w:val="single" w:color="auto" w:sz="4" w:space="0"/>
              <w:right w:val="single" w:color="auto" w:sz="4" w:space="0"/>
            </w:tcBorders>
            <w:vAlign w:val="center"/>
          </w:tcPr>
          <w:p w14:paraId="553B9AAF">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6AAA1E10">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tcPr>
          <w:p w14:paraId="1B503AA2">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6FE62520">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1C37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744528B5">
            <w:pPr>
              <w:widowControl/>
              <w:kinsoku/>
              <w:wordWrap/>
              <w:overflowPunct/>
              <w:topLinePunct w:val="0"/>
              <w:bidi w:val="0"/>
              <w:spacing w:line="300" w:lineRule="auto"/>
              <w:ind w:firstLine="420"/>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二、其他</w:t>
            </w:r>
          </w:p>
        </w:tc>
      </w:tr>
      <w:tr w14:paraId="4F22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D9EC41">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系统安装</w:t>
            </w:r>
          </w:p>
        </w:tc>
        <w:tc>
          <w:tcPr>
            <w:tcW w:w="2490" w:type="dxa"/>
            <w:tcBorders>
              <w:top w:val="single" w:color="auto" w:sz="4" w:space="0"/>
              <w:left w:val="single" w:color="auto" w:sz="4" w:space="0"/>
              <w:bottom w:val="single" w:color="auto" w:sz="4" w:space="0"/>
              <w:right w:val="single" w:color="auto" w:sz="4" w:space="0"/>
            </w:tcBorders>
            <w:vAlign w:val="center"/>
          </w:tcPr>
          <w:p w14:paraId="29492AC5">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完成培训系统的安装与调试</w:t>
            </w:r>
          </w:p>
        </w:tc>
        <w:tc>
          <w:tcPr>
            <w:tcW w:w="1230" w:type="dxa"/>
            <w:tcBorders>
              <w:top w:val="single" w:color="auto" w:sz="4" w:space="0"/>
              <w:left w:val="single" w:color="auto" w:sz="4" w:space="0"/>
              <w:bottom w:val="single" w:color="auto" w:sz="4" w:space="0"/>
              <w:right w:val="single" w:color="auto" w:sz="4" w:space="0"/>
            </w:tcBorders>
          </w:tcPr>
          <w:p w14:paraId="76FA8109">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tcPr>
          <w:p w14:paraId="03351C53">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278C5EEA">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21A5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80467FB">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统计学员列表</w:t>
            </w:r>
          </w:p>
        </w:tc>
        <w:tc>
          <w:tcPr>
            <w:tcW w:w="2490" w:type="dxa"/>
            <w:tcBorders>
              <w:top w:val="single" w:color="auto" w:sz="4" w:space="0"/>
              <w:left w:val="single" w:color="auto" w:sz="4" w:space="0"/>
              <w:bottom w:val="single" w:color="auto" w:sz="4" w:space="0"/>
              <w:right w:val="single" w:color="auto" w:sz="4" w:space="0"/>
            </w:tcBorders>
            <w:vAlign w:val="center"/>
          </w:tcPr>
          <w:p w14:paraId="0C15F369">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统计计划培训的学员名单</w:t>
            </w:r>
          </w:p>
        </w:tc>
        <w:tc>
          <w:tcPr>
            <w:tcW w:w="1230" w:type="dxa"/>
            <w:tcBorders>
              <w:top w:val="single" w:color="auto" w:sz="4" w:space="0"/>
              <w:left w:val="single" w:color="auto" w:sz="4" w:space="0"/>
              <w:bottom w:val="single" w:color="auto" w:sz="4" w:space="0"/>
              <w:right w:val="single" w:color="auto" w:sz="4" w:space="0"/>
            </w:tcBorders>
          </w:tcPr>
          <w:p w14:paraId="4127B3D9">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tcPr>
          <w:p w14:paraId="2B2B6838">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3B4A04C2">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1B41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25B3EDA">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培训通知</w:t>
            </w:r>
          </w:p>
        </w:tc>
        <w:tc>
          <w:tcPr>
            <w:tcW w:w="2490" w:type="dxa"/>
            <w:tcBorders>
              <w:top w:val="single" w:color="auto" w:sz="4" w:space="0"/>
              <w:left w:val="single" w:color="auto" w:sz="4" w:space="0"/>
              <w:bottom w:val="single" w:color="auto" w:sz="4" w:space="0"/>
              <w:right w:val="single" w:color="auto" w:sz="4" w:space="0"/>
            </w:tcBorders>
            <w:vAlign w:val="center"/>
          </w:tcPr>
          <w:p w14:paraId="61871EAA">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发放培训通知</w:t>
            </w:r>
          </w:p>
        </w:tc>
        <w:tc>
          <w:tcPr>
            <w:tcW w:w="1230" w:type="dxa"/>
            <w:tcBorders>
              <w:top w:val="single" w:color="auto" w:sz="4" w:space="0"/>
              <w:left w:val="single" w:color="auto" w:sz="4" w:space="0"/>
              <w:bottom w:val="single" w:color="auto" w:sz="4" w:space="0"/>
              <w:right w:val="single" w:color="auto" w:sz="4" w:space="0"/>
            </w:tcBorders>
          </w:tcPr>
          <w:p w14:paraId="17B04810">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tcPr>
          <w:p w14:paraId="60C93B4B">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22F48FE7">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r>
      <w:tr w14:paraId="2765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54241D3">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学员报到</w:t>
            </w:r>
          </w:p>
        </w:tc>
        <w:tc>
          <w:tcPr>
            <w:tcW w:w="2490" w:type="dxa"/>
            <w:tcBorders>
              <w:top w:val="single" w:color="auto" w:sz="4" w:space="0"/>
              <w:left w:val="single" w:color="auto" w:sz="4" w:space="0"/>
              <w:bottom w:val="single" w:color="auto" w:sz="4" w:space="0"/>
              <w:right w:val="single" w:color="auto" w:sz="4" w:space="0"/>
            </w:tcBorders>
            <w:vAlign w:val="center"/>
          </w:tcPr>
          <w:p w14:paraId="49E41498">
            <w:pPr>
              <w:widowControl/>
              <w:kinsoku/>
              <w:wordWrap/>
              <w:overflowPunct/>
              <w:topLinePunct w:val="0"/>
              <w:bidi w:val="0"/>
              <w:spacing w:line="300" w:lineRule="auto"/>
              <w:jc w:val="center"/>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安排住宿、签到</w:t>
            </w:r>
          </w:p>
        </w:tc>
        <w:tc>
          <w:tcPr>
            <w:tcW w:w="1230" w:type="dxa"/>
            <w:tcBorders>
              <w:top w:val="single" w:color="auto" w:sz="4" w:space="0"/>
              <w:left w:val="single" w:color="auto" w:sz="4" w:space="0"/>
              <w:bottom w:val="single" w:color="auto" w:sz="4" w:space="0"/>
              <w:right w:val="single" w:color="auto" w:sz="4" w:space="0"/>
            </w:tcBorders>
          </w:tcPr>
          <w:p w14:paraId="4DF6D5FF">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tcPr>
          <w:p w14:paraId="117C7C1E">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tcPr>
          <w:p w14:paraId="6FB254A0">
            <w:pPr>
              <w:widowControl/>
              <w:kinsoku/>
              <w:wordWrap/>
              <w:overflowPunct/>
              <w:topLinePunct w:val="0"/>
              <w:bidi w:val="0"/>
              <w:spacing w:line="300" w:lineRule="auto"/>
              <w:ind w:firstLine="476" w:firstLineChars="227"/>
              <w:jc w:val="center"/>
              <w:rPr>
                <w:rFonts w:hint="eastAsia" w:ascii="仿宋" w:hAnsi="仿宋" w:eastAsia="仿宋" w:cs="仿宋"/>
                <w:color w:val="000000" w:themeColor="text1"/>
                <w:sz w:val="21"/>
                <w:szCs w:val="21"/>
                <w:highlight w:val="none"/>
                <w:lang w:val="zh-CN"/>
                <w14:textFill>
                  <w14:solidFill>
                    <w14:schemeClr w14:val="tx1"/>
                  </w14:solidFill>
                </w14:textFill>
              </w:rPr>
            </w:pPr>
          </w:p>
        </w:tc>
      </w:tr>
    </w:tbl>
    <w:p w14:paraId="7A253FD9">
      <w:pPr>
        <w:kinsoku/>
        <w:wordWrap/>
        <w:overflowPunct/>
        <w:topLinePunct w:val="0"/>
        <w:bidi w:val="0"/>
        <w:spacing w:line="300" w:lineRule="auto"/>
        <w:rPr>
          <w:rFonts w:hint="eastAsia" w:ascii="仿宋" w:hAnsi="仿宋" w:eastAsia="仿宋" w:cs="仿宋"/>
          <w:b/>
          <w:color w:val="000000" w:themeColor="text1"/>
          <w:sz w:val="21"/>
          <w:szCs w:val="21"/>
          <w:highlight w:val="none"/>
          <w14:textFill>
            <w14:solidFill>
              <w14:schemeClr w14:val="tx1"/>
            </w14:solidFill>
          </w14:textFill>
        </w:rPr>
      </w:pPr>
      <w:bookmarkStart w:id="265" w:name="_Toc368586712"/>
      <w:bookmarkStart w:id="266" w:name="_Toc388026149"/>
      <w:bookmarkStart w:id="267" w:name="_Toc390247428"/>
      <w:bookmarkStart w:id="268" w:name="_Toc383526945"/>
      <w:bookmarkStart w:id="269" w:name="_Toc370801235"/>
      <w:r>
        <w:rPr>
          <w:rFonts w:hint="eastAsia" w:ascii="仿宋" w:hAnsi="仿宋" w:eastAsia="仿宋" w:cs="仿宋"/>
          <w:b/>
          <w:color w:val="000000" w:themeColor="text1"/>
          <w:sz w:val="21"/>
          <w:szCs w:val="21"/>
          <w:highlight w:val="none"/>
          <w14:textFill>
            <w14:solidFill>
              <w14:schemeClr w14:val="tx1"/>
            </w14:solidFill>
          </w14:textFill>
        </w:rPr>
        <w:t>B.培训实施</w:t>
      </w:r>
      <w:bookmarkEnd w:id="265"/>
      <w:bookmarkEnd w:id="266"/>
      <w:bookmarkEnd w:id="267"/>
      <w:bookmarkEnd w:id="268"/>
      <w:bookmarkEnd w:id="269"/>
    </w:p>
    <w:p w14:paraId="020F5F92">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在培训的开始，由每期培训班的课堂负责人，负责考勤及活动组织。要求每天的上午、下午正式上课时需要签到。</w:t>
      </w:r>
    </w:p>
    <w:p w14:paraId="22D221B5">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在培训的过程中，培训讲师会根据课程表的安排进行讲解。每一期培训班的内容将设置多个环节，每一个环节都分为授课和练习两部分，授课部分将按照培训讲义对当期培训班所设置的内容进行详细地介绍，并配有培训教材以作参考。练习部分要求学员按照事先准备好的案例进行实际操作，以加强对所学知识的记忆和理解。</w:t>
      </w:r>
    </w:p>
    <w:p w14:paraId="7263E309">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在课堂上，参与培训人员若有疑问，可先记录下来课下交给讲课老师，讲课老师将在练习阶段或下一个培训环节给予答复。</w:t>
      </w:r>
    </w:p>
    <w:p w14:paraId="7D09CFA5">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讲课老师及辅导老师每天把培训人员的疑问进行记录下来，汇总并提炼后形成问题集锦，在培训结束时发放给每一位培训人员。</w:t>
      </w:r>
    </w:p>
    <w:p w14:paraId="7C6FE50C">
      <w:pPr>
        <w:kinsoku/>
        <w:wordWrap/>
        <w:overflowPunct/>
        <w:topLinePunct w:val="0"/>
        <w:bidi w:val="0"/>
        <w:spacing w:line="300" w:lineRule="auto"/>
        <w:rPr>
          <w:rFonts w:hint="eastAsia" w:ascii="仿宋" w:hAnsi="仿宋" w:eastAsia="仿宋" w:cs="仿宋"/>
          <w:b/>
          <w:color w:val="000000" w:themeColor="text1"/>
          <w:sz w:val="21"/>
          <w:szCs w:val="21"/>
          <w:highlight w:val="none"/>
          <w14:textFill>
            <w14:solidFill>
              <w14:schemeClr w14:val="tx1"/>
            </w14:solidFill>
          </w14:textFill>
        </w:rPr>
      </w:pPr>
      <w:bookmarkStart w:id="270" w:name="_Toc388219741"/>
      <w:bookmarkStart w:id="271" w:name="_Toc368586713"/>
      <w:bookmarkStart w:id="272" w:name="_Toc390247429"/>
      <w:bookmarkStart w:id="273" w:name="_Toc383526946"/>
      <w:bookmarkStart w:id="274" w:name="_Toc370801236"/>
      <w:r>
        <w:rPr>
          <w:rFonts w:hint="eastAsia" w:ascii="仿宋" w:hAnsi="仿宋" w:eastAsia="仿宋" w:cs="仿宋"/>
          <w:b/>
          <w:color w:val="000000" w:themeColor="text1"/>
          <w:sz w:val="21"/>
          <w:szCs w:val="21"/>
          <w:highlight w:val="none"/>
          <w14:textFill>
            <w14:solidFill>
              <w14:schemeClr w14:val="tx1"/>
            </w14:solidFill>
          </w14:textFill>
        </w:rPr>
        <w:t>C.培训评估</w:t>
      </w:r>
      <w:bookmarkEnd w:id="270"/>
      <w:bookmarkEnd w:id="271"/>
      <w:bookmarkEnd w:id="272"/>
      <w:bookmarkEnd w:id="273"/>
      <w:bookmarkEnd w:id="274"/>
    </w:p>
    <w:p w14:paraId="6BB30427">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培训结束后，需要对培训效果进行及时评估，以检验培训目标能否实现。培训评估由两部分组成：一是各参与培训的人员考试成绩；二是培训人员对培训提交的效果反馈。</w:t>
      </w:r>
    </w:p>
    <w:p w14:paraId="4DB343AE">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对人员进行考试时，要包括两部分内容，理论考试与上机考核。理论考试由项目小组共同出题，类型主要是选择题与问答题。理论考试与上机考试的满分都为100分，70分为合格线。</w:t>
      </w:r>
    </w:p>
    <w:p w14:paraId="71383942">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培训质量反馈，由参与培训的人员填完后并提交后，汇总至项目经理进行分析，特别是应关注其中的改正意见方面，积极采纳合理的反馈意见，作为下次培训工作的改进依据。</w:t>
      </w:r>
    </w:p>
    <w:p w14:paraId="14F98B05">
      <w:pPr>
        <w:kinsoku/>
        <w:wordWrap/>
        <w:overflowPunct/>
        <w:topLinePunct w:val="0"/>
        <w:bidi w:val="0"/>
        <w:spacing w:line="300" w:lineRule="auto"/>
        <w:ind w:firstLine="42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培训评估后，培训负责人需将培训工作进行总结，形成培训工作报告并提交项目经理。</w:t>
      </w:r>
      <w:bookmarkStart w:id="275" w:name="_Toc394439060"/>
      <w:bookmarkStart w:id="276" w:name="_Toc455830780"/>
      <w:bookmarkStart w:id="277" w:name="_Toc435649542"/>
      <w:bookmarkStart w:id="278" w:name="_Toc12553"/>
      <w:bookmarkStart w:id="279" w:name="_Toc396225537"/>
      <w:bookmarkStart w:id="280" w:name="_Toc449024113"/>
      <w:bookmarkStart w:id="281" w:name="_Toc406487124"/>
      <w:bookmarkStart w:id="282" w:name="_Toc395805593"/>
      <w:bookmarkStart w:id="283" w:name="_Toc407132630"/>
      <w:bookmarkStart w:id="284" w:name="_Toc3012"/>
      <w:bookmarkStart w:id="285" w:name="_Toc437963676"/>
    </w:p>
    <w:p w14:paraId="445703FA">
      <w:pPr>
        <w:pStyle w:val="2"/>
        <w:kinsoku/>
        <w:wordWrap/>
        <w:overflowPunct/>
        <w:topLinePunct w:val="0"/>
        <w:bidi w:val="0"/>
        <w:spacing w:before="0" w:after="0" w:line="300" w:lineRule="auto"/>
        <w:rPr>
          <w:rFonts w:hint="eastAsia" w:ascii="仿宋" w:hAnsi="仿宋" w:eastAsia="仿宋" w:cs="仿宋"/>
          <w:color w:val="000000" w:themeColor="text1"/>
          <w:sz w:val="21"/>
          <w:szCs w:val="21"/>
          <w:highlight w:val="none"/>
          <w14:textFill>
            <w14:solidFill>
              <w14:schemeClr w14:val="tx1"/>
            </w14:solidFill>
          </w14:textFill>
        </w:rPr>
      </w:pPr>
      <w:bookmarkStart w:id="286" w:name="_Toc5281100"/>
      <w:bookmarkStart w:id="287" w:name="_Toc17353"/>
      <w:bookmarkStart w:id="288" w:name="_Toc6840932"/>
      <w:bookmarkStart w:id="289" w:name="_Toc32314"/>
      <w:bookmarkStart w:id="290" w:name="_Toc7440"/>
      <w:bookmarkStart w:id="291" w:name="_Toc7260"/>
      <w:bookmarkStart w:id="292" w:name="_Toc4751285"/>
      <w:bookmarkStart w:id="293" w:name="_Toc9548"/>
      <w:r>
        <w:rPr>
          <w:rFonts w:hint="eastAsia" w:ascii="仿宋" w:hAnsi="仿宋" w:eastAsia="仿宋" w:cs="仿宋"/>
          <w:color w:val="000000" w:themeColor="text1"/>
          <w:sz w:val="21"/>
          <w:szCs w:val="21"/>
          <w:highlight w:val="none"/>
          <w:lang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培训内容</w:t>
      </w:r>
      <w:bookmarkEnd w:id="275"/>
      <w:r>
        <w:rPr>
          <w:rFonts w:hint="eastAsia" w:ascii="仿宋" w:hAnsi="仿宋" w:eastAsia="仿宋" w:cs="仿宋"/>
          <w:color w:val="000000" w:themeColor="text1"/>
          <w:sz w:val="21"/>
          <w:szCs w:val="21"/>
          <w:highlight w:val="none"/>
          <w14:textFill>
            <w14:solidFill>
              <w14:schemeClr w14:val="tx1"/>
            </w14:solidFill>
          </w14:textFill>
        </w:rPr>
        <w:t>及安排</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9405A65">
      <w:pPr>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bookmarkStart w:id="294" w:name="_Toc455830781"/>
      <w:bookmarkStart w:id="295" w:name="_Toc30563"/>
      <w:r>
        <w:rPr>
          <w:rFonts w:hint="eastAsia" w:ascii="仿宋" w:hAnsi="仿宋" w:eastAsia="仿宋" w:cs="仿宋"/>
          <w:b/>
          <w:bCs/>
          <w:color w:val="000000" w:themeColor="text1"/>
          <w:sz w:val="21"/>
          <w:szCs w:val="21"/>
          <w:highlight w:val="none"/>
          <w14:textFill>
            <w14:solidFill>
              <w14:schemeClr w14:val="tx1"/>
            </w14:solidFill>
          </w14:textFill>
        </w:rPr>
        <w:t>培训计划表</w:t>
      </w:r>
      <w:bookmarkEnd w:id="294"/>
      <w:bookmarkEnd w:id="295"/>
      <w:r>
        <w:rPr>
          <w:rFonts w:hint="eastAsia" w:ascii="仿宋" w:hAnsi="仿宋" w:eastAsia="仿宋" w:cs="仿宋"/>
          <w:b/>
          <w:bCs/>
          <w:color w:val="000000" w:themeColor="text1"/>
          <w:sz w:val="21"/>
          <w:szCs w:val="21"/>
          <w:highlight w:val="none"/>
          <w14:textFill>
            <w14:solidFill>
              <w14:schemeClr w14:val="tx1"/>
            </w14:solidFill>
          </w14:textFill>
        </w:rPr>
        <w:t xml:space="preserve"> </w:t>
      </w:r>
    </w:p>
    <w:p w14:paraId="14D8C6F6">
      <w:pPr>
        <w:kinsoku/>
        <w:wordWrap/>
        <w:overflowPunct/>
        <w:topLinePunct w:val="0"/>
        <w:bidi w:val="0"/>
        <w:spacing w:line="300" w:lineRule="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提供3-4名技术工程师现场培训指导</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353"/>
        <w:gridCol w:w="2315"/>
      </w:tblGrid>
      <w:tr w14:paraId="1945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52" w:type="dxa"/>
            <w:vAlign w:val="center"/>
          </w:tcPr>
          <w:p w14:paraId="5B557EEB">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序号</w:t>
            </w:r>
          </w:p>
        </w:tc>
        <w:tc>
          <w:tcPr>
            <w:tcW w:w="5353" w:type="dxa"/>
            <w:vAlign w:val="center"/>
          </w:tcPr>
          <w:p w14:paraId="79F2D602">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培训内容</w:t>
            </w:r>
          </w:p>
        </w:tc>
        <w:tc>
          <w:tcPr>
            <w:tcW w:w="2315" w:type="dxa"/>
            <w:vAlign w:val="center"/>
          </w:tcPr>
          <w:p w14:paraId="7409065B">
            <w:pPr>
              <w:kinsoku/>
              <w:wordWrap/>
              <w:overflowPunct/>
              <w:topLinePunct w:val="0"/>
              <w:bidi w:val="0"/>
              <w:spacing w:line="300" w:lineRule="auto"/>
              <w:ind w:right="-17"/>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培训课时（日历日）</w:t>
            </w:r>
          </w:p>
        </w:tc>
      </w:tr>
      <w:tr w14:paraId="19B5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52" w:type="dxa"/>
            <w:vAlign w:val="center"/>
          </w:tcPr>
          <w:p w14:paraId="24D05C3B">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p>
        </w:tc>
        <w:tc>
          <w:tcPr>
            <w:tcW w:w="5353" w:type="dxa"/>
            <w:vAlign w:val="center"/>
          </w:tcPr>
          <w:p w14:paraId="686EF988">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系统设备的安装情况、设备实物介绍</w:t>
            </w:r>
          </w:p>
        </w:tc>
        <w:tc>
          <w:tcPr>
            <w:tcW w:w="2315" w:type="dxa"/>
            <w:vMerge w:val="restart"/>
            <w:vAlign w:val="center"/>
          </w:tcPr>
          <w:p w14:paraId="0467B5CB">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p>
        </w:tc>
      </w:tr>
      <w:tr w14:paraId="4E2F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52" w:type="dxa"/>
            <w:vAlign w:val="center"/>
          </w:tcPr>
          <w:p w14:paraId="72B80D3F">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p>
        </w:tc>
        <w:tc>
          <w:tcPr>
            <w:tcW w:w="5353" w:type="dxa"/>
            <w:vAlign w:val="center"/>
          </w:tcPr>
          <w:p w14:paraId="19E113D7">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设备操作、设置，系统操作设置、管理</w:t>
            </w:r>
          </w:p>
        </w:tc>
        <w:tc>
          <w:tcPr>
            <w:tcW w:w="2315" w:type="dxa"/>
            <w:vMerge w:val="continue"/>
            <w:vAlign w:val="center"/>
          </w:tcPr>
          <w:p w14:paraId="6AC2CC96">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p>
        </w:tc>
      </w:tr>
      <w:tr w14:paraId="1CAF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52" w:type="dxa"/>
            <w:vAlign w:val="center"/>
          </w:tcPr>
          <w:p w14:paraId="0E6DCD9D">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w:t>
            </w:r>
          </w:p>
        </w:tc>
        <w:tc>
          <w:tcPr>
            <w:tcW w:w="5353" w:type="dxa"/>
            <w:vAlign w:val="center"/>
          </w:tcPr>
          <w:p w14:paraId="2575B04A">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设备的日常维护、保养</w:t>
            </w:r>
          </w:p>
        </w:tc>
        <w:tc>
          <w:tcPr>
            <w:tcW w:w="2315" w:type="dxa"/>
            <w:vMerge w:val="continue"/>
            <w:vAlign w:val="center"/>
          </w:tcPr>
          <w:p w14:paraId="2EF8DFD3">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p>
        </w:tc>
      </w:tr>
      <w:tr w14:paraId="70BE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52" w:type="dxa"/>
            <w:vAlign w:val="center"/>
          </w:tcPr>
          <w:p w14:paraId="10DF9C71">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w:t>
            </w:r>
          </w:p>
        </w:tc>
        <w:tc>
          <w:tcPr>
            <w:tcW w:w="5353" w:type="dxa"/>
            <w:vAlign w:val="center"/>
          </w:tcPr>
          <w:p w14:paraId="6D8164C7">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系统故障排查、应急处理</w:t>
            </w:r>
          </w:p>
        </w:tc>
        <w:tc>
          <w:tcPr>
            <w:tcW w:w="2315" w:type="dxa"/>
            <w:vMerge w:val="continue"/>
            <w:vAlign w:val="center"/>
          </w:tcPr>
          <w:p w14:paraId="18041C4F">
            <w:pPr>
              <w:kinsoku/>
              <w:wordWrap/>
              <w:overflowPunct/>
              <w:topLinePunct w:val="0"/>
              <w:bidi w:val="0"/>
              <w:spacing w:line="300" w:lineRule="auto"/>
              <w:ind w:right="-17"/>
              <w:jc w:val="center"/>
              <w:textAlignment w:val="bottom"/>
              <w:rPr>
                <w:rFonts w:hint="eastAsia" w:ascii="仿宋" w:hAnsi="仿宋" w:eastAsia="仿宋" w:cs="仿宋"/>
                <w:color w:val="000000" w:themeColor="text1"/>
                <w:sz w:val="21"/>
                <w:szCs w:val="21"/>
                <w:highlight w:val="none"/>
                <w14:textFill>
                  <w14:solidFill>
                    <w14:schemeClr w14:val="tx1"/>
                  </w14:solidFill>
                </w14:textFill>
              </w:rPr>
            </w:pPr>
          </w:p>
        </w:tc>
      </w:tr>
    </w:tbl>
    <w:p w14:paraId="5FDE2854">
      <w:pPr>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bookmarkStart w:id="296" w:name="_Toc455830782"/>
      <w:bookmarkStart w:id="297" w:name="_Toc8371"/>
      <w:r>
        <w:rPr>
          <w:rFonts w:hint="eastAsia" w:ascii="仿宋" w:hAnsi="仿宋" w:eastAsia="仿宋" w:cs="仿宋"/>
          <w:b/>
          <w:bCs/>
          <w:color w:val="000000" w:themeColor="text1"/>
          <w:sz w:val="21"/>
          <w:szCs w:val="21"/>
          <w:highlight w:val="none"/>
          <w14:textFill>
            <w14:solidFill>
              <w14:schemeClr w14:val="tx1"/>
            </w14:solidFill>
          </w14:textFill>
        </w:rPr>
        <w:t>培训费用</w:t>
      </w:r>
      <w:bookmarkEnd w:id="296"/>
      <w:r>
        <w:rPr>
          <w:rFonts w:hint="eastAsia" w:ascii="仿宋" w:hAnsi="仿宋" w:eastAsia="仿宋" w:cs="仿宋"/>
          <w:b/>
          <w:bCs/>
          <w:color w:val="000000" w:themeColor="text1"/>
          <w:sz w:val="21"/>
          <w:szCs w:val="21"/>
          <w:highlight w:val="none"/>
          <w14:textFill>
            <w14:solidFill>
              <w14:schemeClr w14:val="tx1"/>
            </w14:solidFill>
          </w14:textFill>
        </w:rPr>
        <w:t>及地点</w:t>
      </w:r>
      <w:bookmarkEnd w:id="297"/>
    </w:p>
    <w:p w14:paraId="68BE028B">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培训费用：免费培训；</w:t>
      </w:r>
      <w:bookmarkStart w:id="298" w:name="_Toc342062509"/>
      <w:bookmarkStart w:id="299" w:name="_Toc388219743"/>
      <w:bookmarkStart w:id="300" w:name="_Toc341284429"/>
      <w:bookmarkStart w:id="301" w:name="_Toc341371360"/>
      <w:bookmarkStart w:id="302" w:name="_Toc361673049"/>
      <w:bookmarkStart w:id="303" w:name="_Toc352749114"/>
      <w:bookmarkStart w:id="304" w:name="_Toc343678863"/>
      <w:bookmarkStart w:id="305" w:name="_Toc383526953"/>
      <w:bookmarkStart w:id="306" w:name="_Toc342082811"/>
      <w:bookmarkStart w:id="307" w:name="_Toc368586702"/>
      <w:bookmarkStart w:id="308" w:name="_Toc390247431"/>
      <w:bookmarkStart w:id="309" w:name="_Toc342083405"/>
      <w:bookmarkStart w:id="310" w:name="_Toc353204688"/>
    </w:p>
    <w:p w14:paraId="5C747B24">
      <w:pPr>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现场培训：</w:t>
      </w:r>
    </w:p>
    <w:p w14:paraId="7BA4FC73">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每套设备安装调试完毕后，我公司安排专门技术人员对使用单位的设备管理人员进行操作应用及维护保养方面的技能培训，使其掌握基本技能。</w:t>
      </w:r>
    </w:p>
    <w:p w14:paraId="0375C8F5">
      <w:pPr>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领导专项培训</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58AB182C">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培训目标：监控系统给管理提升带来改变</w:t>
      </w:r>
    </w:p>
    <w:p w14:paraId="36CB4087">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授课人员：项目经理及主要技术负责人</w:t>
      </w:r>
    </w:p>
    <w:p w14:paraId="2E774E24">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培训方式：“贴身式”培训</w:t>
      </w:r>
    </w:p>
    <w:p w14:paraId="31FD7F6A">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bookmarkStart w:id="311" w:name="_Toc368586705"/>
      <w:bookmarkStart w:id="312" w:name="_Toc383526956"/>
      <w:bookmarkStart w:id="313" w:name="_Toc388219746"/>
      <w:bookmarkStart w:id="314" w:name="_Toc390247434"/>
      <w:r>
        <w:rPr>
          <w:rFonts w:hint="eastAsia" w:ascii="仿宋" w:hAnsi="仿宋" w:eastAsia="仿宋" w:cs="仿宋"/>
          <w:color w:val="000000" w:themeColor="text1"/>
          <w:sz w:val="21"/>
          <w:szCs w:val="21"/>
          <w:highlight w:val="none"/>
          <w:lang w:val="zh-CN"/>
          <w14:textFill>
            <w14:solidFill>
              <w14:schemeClr w14:val="tx1"/>
            </w14:solidFill>
          </w14:textFill>
        </w:rPr>
        <w:t>培训人数：依照领导人数而定</w:t>
      </w:r>
    </w:p>
    <w:p w14:paraId="650DD228">
      <w:pPr>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普通老师培训</w:t>
      </w:r>
      <w:bookmarkEnd w:id="311"/>
      <w:bookmarkEnd w:id="312"/>
      <w:bookmarkEnd w:id="313"/>
      <w:bookmarkEnd w:id="314"/>
    </w:p>
    <w:p w14:paraId="5E4441C4">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培训目标：熟练使用监控操作，能处理使用中的简单问题或故障</w:t>
      </w:r>
    </w:p>
    <w:p w14:paraId="7B9BD1FE">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授课人员：项目经理及主要技术负责人</w:t>
      </w:r>
    </w:p>
    <w:p w14:paraId="23D3FCA7">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培训形式：集中式培训</w:t>
      </w:r>
    </w:p>
    <w:p w14:paraId="1690646B">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bookmarkStart w:id="315" w:name="_Toc368586707"/>
      <w:bookmarkStart w:id="316" w:name="_Toc383526958"/>
      <w:bookmarkStart w:id="317" w:name="_Toc390247436"/>
      <w:bookmarkStart w:id="318" w:name="_Toc388219748"/>
      <w:r>
        <w:rPr>
          <w:rFonts w:hint="eastAsia" w:ascii="仿宋" w:hAnsi="仿宋" w:eastAsia="仿宋" w:cs="仿宋"/>
          <w:color w:val="000000" w:themeColor="text1"/>
          <w:sz w:val="21"/>
          <w:szCs w:val="21"/>
          <w:highlight w:val="none"/>
          <w:lang w:val="zh-CN"/>
          <w14:textFill>
            <w14:solidFill>
              <w14:schemeClr w14:val="tx1"/>
            </w14:solidFill>
          </w14:textFill>
        </w:rPr>
        <w:t>培训人数：依照领导人数而定</w:t>
      </w:r>
    </w:p>
    <w:p w14:paraId="3C6916DE">
      <w:pPr>
        <w:kinsoku/>
        <w:wordWrap/>
        <w:overflowPunct/>
        <w:topLinePunct w:val="0"/>
        <w:bidi w:val="0"/>
        <w:spacing w:line="300" w:lineRule="auto"/>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系统管理运维人员培训</w:t>
      </w:r>
      <w:bookmarkEnd w:id="315"/>
      <w:bookmarkEnd w:id="316"/>
      <w:bookmarkEnd w:id="317"/>
      <w:bookmarkEnd w:id="318"/>
    </w:p>
    <w:p w14:paraId="269F0CC1">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培训目标：能够处理监控及网络系统使用过程中常见的故障</w:t>
      </w:r>
    </w:p>
    <w:p w14:paraId="3EB9143E">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授课人员：技术实施经理</w:t>
      </w:r>
    </w:p>
    <w:p w14:paraId="5D4A56FA">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培训方式：集中式培训</w:t>
      </w:r>
    </w:p>
    <w:p w14:paraId="07F7A777">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培训人数：依照领导人数而定</w:t>
      </w:r>
    </w:p>
    <w:p w14:paraId="42E03042">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bookmarkStart w:id="319" w:name="_Toc455830783"/>
      <w:bookmarkStart w:id="320" w:name="_Toc15512"/>
      <w:r>
        <w:rPr>
          <w:rFonts w:hint="eastAsia" w:ascii="仿宋" w:hAnsi="仿宋" w:eastAsia="仿宋" w:cs="仿宋"/>
          <w:color w:val="000000" w:themeColor="text1"/>
          <w:sz w:val="21"/>
          <w:szCs w:val="21"/>
          <w:highlight w:val="none"/>
          <w:lang w:val="zh-CN"/>
          <w14:textFill>
            <w14:solidFill>
              <w14:schemeClr w14:val="tx1"/>
            </w14:solidFill>
          </w14:textFill>
        </w:rPr>
        <w:t>时间估算：与西安职业技术学院负责人协商沟通</w:t>
      </w:r>
    </w:p>
    <w:p w14:paraId="2DA83E60">
      <w:pPr>
        <w:kinsoku/>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val="zh-CN"/>
          <w14:textFill>
            <w14:solidFill>
              <w14:schemeClr w14:val="tx1"/>
            </w14:solidFill>
          </w14:textFill>
        </w:rPr>
      </w:pPr>
      <w:r>
        <w:rPr>
          <w:rFonts w:hint="eastAsia" w:ascii="仿宋" w:hAnsi="仿宋" w:eastAsia="仿宋" w:cs="仿宋"/>
          <w:color w:val="000000" w:themeColor="text1"/>
          <w:sz w:val="21"/>
          <w:szCs w:val="21"/>
          <w:highlight w:val="none"/>
          <w:lang w:val="zh-CN"/>
          <w14:textFill>
            <w14:solidFill>
              <w14:schemeClr w14:val="tx1"/>
            </w14:solidFill>
          </w14:textFill>
        </w:rPr>
        <w:t>培训地点：西安职业技术学院负责人指定地点</w:t>
      </w:r>
    </w:p>
    <w:p w14:paraId="2A6DC005">
      <w:pPr>
        <w:kinsoku/>
        <w:wordWrap/>
        <w:overflowPunct/>
        <w:topLinePunct w:val="0"/>
        <w:bidi w:val="0"/>
        <w:spacing w:line="300" w:lineRule="auto"/>
        <w:rPr>
          <w:rFonts w:hint="eastAsia" w:ascii="仿宋" w:hAnsi="仿宋" w:eastAsia="仿宋" w:cs="仿宋"/>
          <w:b/>
          <w:bCs/>
          <w:color w:val="000000" w:themeColor="text1"/>
          <w:sz w:val="21"/>
          <w:szCs w:val="21"/>
          <w:highlight w:val="none"/>
          <w:lang w:val="zh-CN"/>
          <w14:textFill>
            <w14:solidFill>
              <w14:schemeClr w14:val="tx1"/>
            </w14:solidFill>
          </w14:textFill>
        </w:rPr>
      </w:pPr>
      <w:r>
        <w:rPr>
          <w:rFonts w:hint="eastAsia" w:ascii="仿宋" w:hAnsi="仿宋" w:eastAsia="仿宋" w:cs="仿宋"/>
          <w:b/>
          <w:bCs/>
          <w:color w:val="000000" w:themeColor="text1"/>
          <w:sz w:val="21"/>
          <w:szCs w:val="21"/>
          <w:highlight w:val="none"/>
          <w:lang w:val="zh-CN"/>
          <w14:textFill>
            <w14:solidFill>
              <w14:schemeClr w14:val="tx1"/>
            </w14:solidFill>
          </w14:textFill>
        </w:rPr>
        <w:t>培训内容</w:t>
      </w:r>
      <w:bookmarkEnd w:id="319"/>
      <w:bookmarkEnd w:id="320"/>
    </w:p>
    <w:p w14:paraId="336EC8E5">
      <w:pPr>
        <w:kinsoku/>
        <w:wordWrap/>
        <w:overflowPunct/>
        <w:topLinePunct w:val="0"/>
        <w:bidi w:val="0"/>
        <w:spacing w:line="300" w:lineRule="auto"/>
        <w:ind w:firstLine="420" w:firstLineChars="200"/>
      </w:pPr>
      <w:r>
        <w:rPr>
          <w:rFonts w:hint="eastAsia" w:ascii="仿宋" w:hAnsi="仿宋" w:eastAsia="仿宋" w:cs="仿宋"/>
          <w:color w:val="000000" w:themeColor="text1"/>
          <w:sz w:val="21"/>
          <w:szCs w:val="21"/>
          <w:highlight w:val="none"/>
          <w:lang w:val="zh-CN"/>
          <w14:textFill>
            <w14:solidFill>
              <w14:schemeClr w14:val="tx1"/>
            </w14:solidFill>
          </w14:textFill>
        </w:rPr>
        <w:t>应用设备的目的和范围；应用设备的操作流程以及买方业务流程之间相对应关系；具体操作系统：基础安装、调试与维护；常见问题的处理与解决办法。</w:t>
      </w:r>
      <w:bookmarkStart w:id="321" w:name="_GoBack"/>
      <w:bookmarkEnd w:id="32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439F63AF">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F670C">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6B0FE">
    <w:pPr>
      <w:pStyle w:val="5"/>
      <w:pBdr>
        <w:bottom w:val="none" w:color="auto" w:sz="0" w:space="0"/>
      </w:pBdr>
      <w:jc w:val="both"/>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5681B"/>
    <w:multiLevelType w:val="singleLevel"/>
    <w:tmpl w:val="B415681B"/>
    <w:lvl w:ilvl="0" w:tentative="0">
      <w:start w:val="1"/>
      <w:numFmt w:val="decimal"/>
      <w:lvlText w:val="%1."/>
      <w:lvlJc w:val="left"/>
      <w:pPr>
        <w:ind w:left="425" w:hanging="425"/>
      </w:pPr>
      <w:rPr>
        <w:rFonts w:hint="default"/>
      </w:rPr>
    </w:lvl>
  </w:abstractNum>
  <w:abstractNum w:abstractNumId="1">
    <w:nsid w:val="0C8F015C"/>
    <w:multiLevelType w:val="multilevel"/>
    <w:tmpl w:val="0C8F015C"/>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BA4C30"/>
    <w:multiLevelType w:val="singleLevel"/>
    <w:tmpl w:val="39BA4C30"/>
    <w:lvl w:ilvl="0" w:tentative="0">
      <w:start w:val="1"/>
      <w:numFmt w:val="decimal"/>
      <w:suff w:val="space"/>
      <w:lvlText w:val="%1."/>
      <w:lvlJc w:val="left"/>
    </w:lvl>
  </w:abstractNum>
  <w:abstractNum w:abstractNumId="3">
    <w:nsid w:val="45633BF8"/>
    <w:multiLevelType w:val="multilevel"/>
    <w:tmpl w:val="45633BF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5428518E"/>
    <w:multiLevelType w:val="multilevel"/>
    <w:tmpl w:val="5428518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965F3C0"/>
    <w:multiLevelType w:val="singleLevel"/>
    <w:tmpl w:val="5965F3C0"/>
    <w:lvl w:ilvl="0" w:tentative="0">
      <w:start w:val="1"/>
      <w:numFmt w:val="decimal"/>
      <w:suff w:val="nothing"/>
      <w:lvlText w:val="%1、"/>
      <w:lvlJc w:val="left"/>
    </w:lvl>
  </w:abstractNum>
  <w:abstractNum w:abstractNumId="6">
    <w:nsid w:val="5B4C4C64"/>
    <w:multiLevelType w:val="multilevel"/>
    <w:tmpl w:val="5B4C4C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69F54F2E"/>
    <w:multiLevelType w:val="singleLevel"/>
    <w:tmpl w:val="69F54F2E"/>
    <w:lvl w:ilvl="0" w:tentative="0">
      <w:start w:val="1"/>
      <w:numFmt w:val="bullet"/>
      <w:lvlText w:val=""/>
      <w:lvlJc w:val="left"/>
      <w:pPr>
        <w:ind w:left="420" w:hanging="420"/>
      </w:pPr>
      <w:rPr>
        <w:rFonts w:hint="default" w:ascii="Wingdings" w:hAnsi="Wingdings"/>
      </w:rPr>
    </w:lvl>
  </w:abstractNum>
  <w:abstractNum w:abstractNumId="8">
    <w:nsid w:val="75435637"/>
    <w:multiLevelType w:val="multilevel"/>
    <w:tmpl w:val="75435637"/>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8"/>
  </w:num>
  <w:num w:numId="3">
    <w:abstractNumId w:val="1"/>
  </w:num>
  <w:num w:numId="4">
    <w:abstractNumId w:val="4"/>
  </w:num>
  <w:num w:numId="5">
    <w:abstractNumId w:val="5"/>
  </w:num>
  <w:num w:numId="6">
    <w:abstractNumId w:val="0"/>
  </w:num>
  <w:num w:numId="7">
    <w:abstractNumId w:val="7"/>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980F5A"/>
    <w:rsid w:val="25980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keepNext/>
      <w:keepLines/>
      <w:spacing w:before="260" w:after="260" w:line="413" w:lineRule="auto"/>
      <w:outlineLvl w:val="1"/>
    </w:pPr>
    <w:rPr>
      <w:rFonts w:ascii="Arial" w:hAnsi="Arial" w:eastAsia="黑体" w:cs="Arial"/>
      <w:b/>
      <w:bCs/>
      <w:sz w:val="32"/>
      <w:szCs w:val="32"/>
    </w:rPr>
  </w:style>
  <w:style w:type="paragraph" w:styleId="3">
    <w:name w:val="heading 3"/>
    <w:basedOn w:val="1"/>
    <w:next w:val="1"/>
    <w:qFormat/>
    <w:uiPriority w:val="99"/>
    <w:pPr>
      <w:keepNext/>
      <w:keepLines/>
      <w:spacing w:before="260" w:after="260" w:line="413" w:lineRule="auto"/>
      <w:outlineLvl w:val="2"/>
    </w:pPr>
    <w:rPr>
      <w:rFonts w:eastAsia="楷体_GB2312"/>
      <w:b/>
      <w:bCs/>
      <w:sz w:val="30"/>
      <w:szCs w:val="30"/>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
    <w:name w:val="招标文件正文"/>
    <w:qFormat/>
    <w:uiPriority w:val="0"/>
    <w:pPr>
      <w:spacing w:before="120" w:after="120" w:line="300" w:lineRule="auto"/>
      <w:ind w:firstLine="200" w:firstLineChars="200"/>
    </w:pPr>
    <w:rPr>
      <w:rFonts w:ascii="宋体" w:hAnsi="Times New Roman" w:eastAsia="宋体" w:cs="Times New Roman"/>
      <w:spacing w:val="10"/>
      <w:w w:val="95"/>
      <w:sz w:val="21"/>
      <w:szCs w:val="22"/>
      <w:lang w:val="en-US" w:eastAsia="zh-CN" w:bidi="ar-SA"/>
    </w:rPr>
  </w:style>
  <w:style w:type="paragraph" w:customStyle="1" w:styleId="11">
    <w:name w:val="列出段落1"/>
    <w:basedOn w:val="1"/>
    <w:qFormat/>
    <w:uiPriority w:val="0"/>
    <w:pPr>
      <w:ind w:firstLine="420" w:firstLineChars="200"/>
    </w:pPr>
    <w:rPr>
      <w:rFonts w:ascii="Times New Roman" w:hAnsi="Times New Roman"/>
      <w:szCs w:val="21"/>
    </w:rPr>
  </w:style>
  <w:style w:type="paragraph" w:customStyle="1" w:styleId="12">
    <w:name w:val="表格文本"/>
    <w:basedOn w:val="1"/>
    <w:qFormat/>
    <w:uiPriority w:val="0"/>
    <w:pPr>
      <w:adjustRightInd w:val="0"/>
      <w:snapToGrid w:val="0"/>
      <w:spacing w:beforeLines="50" w:afterLines="50"/>
      <w:jc w:val="left"/>
    </w:pPr>
    <w:rPr>
      <w:rFonts w:ascii="Arial" w:hAnsi="Arial"/>
      <w:szCs w:val="21"/>
    </w:rPr>
  </w:style>
  <w:style w:type="paragraph" w:customStyle="1" w:styleId="13">
    <w:name w:val="样式 表格内内容 + 首行缩进:  0.85 厘米 段后: 7.8 磅"/>
    <w:basedOn w:val="12"/>
    <w:qFormat/>
    <w:uiPriority w:val="0"/>
    <w:pPr>
      <w:widowControl/>
      <w:adjustRightInd/>
      <w:snapToGrid/>
      <w:spacing w:beforeLines="0" w:afterLines="0" w:line="360" w:lineRule="auto"/>
      <w:jc w:val="both"/>
    </w:pPr>
    <w:rPr>
      <w:rFonts w:ascii="宋体" w:hAnsi="宋体"/>
      <w:kern w:val="0"/>
      <w:szCs w:val="20"/>
    </w:rPr>
  </w:style>
  <w:style w:type="paragraph" w:customStyle="1" w:styleId="14">
    <w:name w:val="★B00.宋体小四"/>
    <w:basedOn w:val="1"/>
    <w:qFormat/>
    <w:uiPriority w:val="0"/>
    <w:pPr>
      <w:spacing w:line="360" w:lineRule="auto"/>
      <w:ind w:firstLine="420" w:firstLineChars="200"/>
    </w:pPr>
    <w:rPr>
      <w:rFonts w:ascii="宋体" w:hAnsi="宋体"/>
      <w:szCs w:val="21"/>
    </w:rPr>
  </w:style>
  <w:style w:type="paragraph" w:customStyle="1" w:styleId="15">
    <w:name w:val="A1.宋体小四→首行缩进"/>
    <w:basedOn w:val="1"/>
    <w:qFormat/>
    <w:uiPriority w:val="0"/>
    <w:pPr>
      <w:spacing w:before="60" w:after="60" w:line="360" w:lineRule="auto"/>
      <w:ind w:firstLine="480" w:firstLineChars="200"/>
    </w:pPr>
    <w:rPr>
      <w:kern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2026-06-17T08:42:00Z</dcterms:created>
  <dc:creator>杜航</dc:creator>
  <cp:lastModifiedBy>杜航</cp:lastModifiedBy>
  <dcterms:modified xsi:type="dcterms:W3CDTF">2026-06-17T08:43:06Z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AECEF15255BA47B7BB9FF80DD8BECE1D_11</vt:lpwstr>
  </property>
  <property fmtid="{D5CDD505-2E9C-101B-9397-08002B2CF9AE}" pid="4" name="KSOTemplateDocerSaveRecord">
    <vt:lpwstr>eyJoZGlkIjoiNGVjNGI1ZWQxMDUyODY5ZDAxOTAyNjljNjE1NWUwNGQiLCJ1c2VySWQiOiIzMDgwODY2MDYifQ==</vt:lpwstr>
  </property>
</Properties>
</file>