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版本号：ZJZB2026-GK104020260804002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企业购置不动产转移登记“高效办成一件事”项目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ZJZB2026-GK1040</w:t>
      </w:r>
      <w:r>
        <w:br/>
      </w:r>
      <w:r>
        <w:br/>
      </w:r>
      <w:r>
        <w:br/>
      </w:r>
    </w:p>
    <w:p>
      <w:pPr>
        <w:pStyle w:val="null3"/>
        <w:jc w:val="center"/>
        <w:outlineLvl w:val="2"/>
      </w:pPr>
      <w:r>
        <w:rPr>
          <w:rFonts w:ascii="仿宋_GB2312" w:hAnsi="仿宋_GB2312" w:cs="仿宋_GB2312" w:eastAsia="仿宋_GB2312"/>
          <w:sz w:val="28"/>
          <w:b/>
        </w:rPr>
        <w:t>陕西省不动产登记服务中心</w:t>
      </w:r>
    </w:p>
    <w:p>
      <w:pPr>
        <w:pStyle w:val="null3"/>
        <w:jc w:val="center"/>
        <w:outlineLvl w:val="2"/>
      </w:pPr>
      <w:r>
        <w:rPr>
          <w:rFonts w:ascii="仿宋_GB2312" w:hAnsi="仿宋_GB2312" w:cs="仿宋_GB2312" w:eastAsia="仿宋_GB2312"/>
          <w:sz w:val="28"/>
          <w:b/>
        </w:rPr>
        <w:t>陕西中基项目管理有限公司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陕西省不动产登记服务中心</w:t>
      </w:r>
      <w:r>
        <w:rPr>
          <w:rFonts w:ascii="仿宋_GB2312" w:hAnsi="仿宋_GB2312" w:cs="仿宋_GB2312" w:eastAsia="仿宋_GB2312"/>
        </w:rPr>
        <w:t>委托，拟对</w:t>
      </w:r>
      <w:r>
        <w:rPr>
          <w:rFonts w:ascii="仿宋_GB2312" w:hAnsi="仿宋_GB2312" w:cs="仿宋_GB2312" w:eastAsia="仿宋_GB2312"/>
        </w:rPr>
        <w:t>企业购置不动产转移登记“高效办成一件事”项目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ZJZB2026-GK1040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企业购置不动产转移登记“高效办成一件事”项目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企业购置不动产转移登记 “高效办成一件事”项目，具体详见招标文件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1、落实政府采购政策：1、《政府采购促进中小企业发展管理办法》（财库〔2020〕46号）； 2、《财政部 司法部关于政府采购支持监狱企业发展有关问题的通知》（财库〔2014〕68号）； 3、《国务院办公厅关于建立政府强制采购节能产品制度的通 知》（国办发〔2007〕51号）； 4、《财政部环保总局关于环境标志产品政府采购实施的意见》（财库〔2006〕90号）； 5、《财政部国家发展改革委关于印发〈节能产品政府采购实施意见〉的通知》（财库〔2004〕185号）； 6、《财政部 民政部 中国残疾人联合会关于促进残疾人就业政府采购政策的通知》（财库〔2017〕141号）； 7、《财政部 发展改革委生态环境部 市场监管总局关于调整优化节能产品、环境标志产品政府采购执行机制的通知》 （财库〔2019〕9号）；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 购信用融资工作的通知》（陕财办采〔2020〕15号）。 参与的供应商（联合体）服务全部由符合政策要求的中小企业承接。</w:t>
      </w:r>
    </w:p>
    <w:p>
      <w:pPr>
        <w:pStyle w:val="null3"/>
      </w:pPr>
      <w:r>
        <w:rPr>
          <w:rFonts w:ascii="仿宋_GB2312" w:hAnsi="仿宋_GB2312" w:cs="仿宋_GB2312" w:eastAsia="仿宋_GB2312"/>
        </w:rPr>
        <w:t>2、本项目不专门面向中小企业采购：本项目不专门面向中小企业采购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陕西省不动产登记服务中心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高科大厦6层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029-89197782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陕西省西安市雁塔区陕西省西安市高新区高新路52号高科大厦18F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招标代理中心曾艳、高杰、宜健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029-88336376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代理服务费收费标准：一、招标代理服务费： 以中标金额为基数，依据国家计委颁布《招标代理服务收费管理暂行办法》（计价格[2002]1980号）和国家发展和改革委员会办公厅颁发的《关于招标代理服务收费有关问题的通知》（发改办价格[2003]857号）文件规定执行。 2、招标代理服务费由成交人支付，在领取《成交通知书》前，由成交人一次性支付给陕西中基项目管理有限公司。 3、招标代理服务费缴纳账户： 账户名称：陕西中基项目管理有限公司 开户银行：招商银行股份有限 公司西安小寨支行 账号：999008462710001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陕西省不动产登记服务中心</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陕西省不动产登记服务中心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陕西省不动产登记服务中心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①采购文件、响应文件、澄清表（函）； ②本合同及附件文本； ③国家相应的标准、规范。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联系人：曾艳</w:t>
      </w:r>
    </w:p>
    <w:p>
      <w:pPr>
        <w:pStyle w:val="null3"/>
      </w:pPr>
      <w:r>
        <w:rPr>
          <w:rFonts w:ascii="仿宋_GB2312" w:hAnsi="仿宋_GB2312" w:cs="仿宋_GB2312" w:eastAsia="仿宋_GB2312"/>
        </w:rPr>
        <w:t>联系电话：029-88336376</w:t>
      </w:r>
    </w:p>
    <w:p>
      <w:pPr>
        <w:pStyle w:val="null3"/>
      </w:pPr>
      <w:r>
        <w:rPr>
          <w:rFonts w:ascii="仿宋_GB2312" w:hAnsi="仿宋_GB2312" w:cs="仿宋_GB2312" w:eastAsia="仿宋_GB2312"/>
        </w:rPr>
        <w:t>地址：西安市 高新路56号电信广场裙楼4楼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企业购置不动产转移登记 “高效办成一件事”项目，具体详见招标文件。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企事购置不动产转移登记“高效办成一件事”项目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标的名称：企事购置不动产转移登记“高效办成一件事”项目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一、项目信息</w:t>
            </w:r>
          </w:p>
          <w:p>
            <w:pPr>
              <w:pStyle w:val="null3"/>
              <w:jc w:val="both"/>
            </w:pPr>
            <w:r>
              <w:rPr>
                <w:rFonts w:ascii="仿宋_GB2312" w:hAnsi="仿宋_GB2312" w:cs="仿宋_GB2312" w:eastAsia="仿宋_GB2312"/>
                <w:sz w:val="24"/>
                <w:b/>
              </w:rPr>
              <w:t>（一）项目名称</w:t>
            </w:r>
          </w:p>
          <w:p>
            <w:pPr>
              <w:pStyle w:val="null3"/>
              <w:jc w:val="both"/>
            </w:pPr>
            <w:r>
              <w:rPr>
                <w:rFonts w:ascii="仿宋_GB2312" w:hAnsi="仿宋_GB2312" w:cs="仿宋_GB2312" w:eastAsia="仿宋_GB2312"/>
                <w:sz w:val="24"/>
              </w:rPr>
              <w:t>企业购置不动产转移登记</w:t>
            </w:r>
            <w:r>
              <w:rPr>
                <w:rFonts w:ascii="仿宋_GB2312" w:hAnsi="仿宋_GB2312" w:cs="仿宋_GB2312" w:eastAsia="仿宋_GB2312"/>
                <w:sz w:val="24"/>
              </w:rPr>
              <w:t>“高效办成一件事”项目</w:t>
            </w:r>
          </w:p>
          <w:p>
            <w:pPr>
              <w:pStyle w:val="null3"/>
              <w:jc w:val="both"/>
            </w:pPr>
            <w:r>
              <w:rPr>
                <w:rFonts w:ascii="仿宋_GB2312" w:hAnsi="仿宋_GB2312" w:cs="仿宋_GB2312" w:eastAsia="仿宋_GB2312"/>
                <w:sz w:val="24"/>
                <w:b/>
              </w:rPr>
              <w:t>（二）采购预算</w:t>
            </w:r>
          </w:p>
          <w:p>
            <w:pPr>
              <w:pStyle w:val="null3"/>
              <w:jc w:val="both"/>
            </w:pPr>
            <w:r>
              <w:rPr>
                <w:rFonts w:ascii="仿宋_GB2312" w:hAnsi="仿宋_GB2312" w:cs="仿宋_GB2312" w:eastAsia="仿宋_GB2312"/>
                <w:sz w:val="24"/>
              </w:rPr>
              <w:t>110.00万元</w:t>
            </w:r>
          </w:p>
          <w:p>
            <w:pPr>
              <w:pStyle w:val="null3"/>
              <w:jc w:val="both"/>
            </w:pPr>
            <w:r>
              <w:rPr>
                <w:rFonts w:ascii="仿宋_GB2312" w:hAnsi="仿宋_GB2312" w:cs="仿宋_GB2312" w:eastAsia="仿宋_GB2312"/>
                <w:sz w:val="24"/>
                <w:b/>
              </w:rPr>
              <w:t>二、采购需求</w:t>
            </w:r>
          </w:p>
          <w:p>
            <w:pPr>
              <w:pStyle w:val="null3"/>
              <w:jc w:val="both"/>
            </w:pPr>
            <w:r>
              <w:rPr>
                <w:rFonts w:ascii="仿宋_GB2312" w:hAnsi="仿宋_GB2312" w:cs="仿宋_GB2312" w:eastAsia="仿宋_GB2312"/>
                <w:sz w:val="24"/>
              </w:rPr>
              <w:t>为落实国家及省级相关改革与省委省政府工作要求，围绕企业购置不动产转移登记</w:t>
            </w:r>
            <w:r>
              <w:rPr>
                <w:rFonts w:ascii="仿宋_GB2312" w:hAnsi="仿宋_GB2312" w:cs="仿宋_GB2312" w:eastAsia="仿宋_GB2312"/>
                <w:sz w:val="24"/>
              </w:rPr>
              <w:t>“高效办成一件事”改革工作，升级省级不动产登记 “一窗办事” 平台，制定技术规范、对接多部门数据接口并和市县（区）系统联调，搭建前后台模块、改造电子证照与经办体系、优化平台功能、融合用户体系，最终实现该业务一次申请、联动限时办理，提升企业办事体验与政务服务效能。</w:t>
            </w:r>
          </w:p>
          <w:p>
            <w:pPr>
              <w:pStyle w:val="null3"/>
              <w:jc w:val="both"/>
            </w:pPr>
            <w:r>
              <w:rPr>
                <w:rFonts w:ascii="仿宋_GB2312" w:hAnsi="仿宋_GB2312" w:cs="仿宋_GB2312" w:eastAsia="仿宋_GB2312"/>
                <w:sz w:val="24"/>
                <w:b/>
              </w:rPr>
              <w:t>（一）业务流程规范</w:t>
            </w:r>
          </w:p>
          <w:p>
            <w:pPr>
              <w:pStyle w:val="null3"/>
              <w:jc w:val="both"/>
            </w:pPr>
            <w:r>
              <w:rPr>
                <w:rFonts w:ascii="仿宋_GB2312" w:hAnsi="仿宋_GB2312" w:cs="仿宋_GB2312" w:eastAsia="仿宋_GB2312"/>
                <w:sz w:val="24"/>
              </w:rPr>
              <w:t>编制企业购置不动产转移登记</w:t>
            </w:r>
            <w:r>
              <w:rPr>
                <w:rFonts w:ascii="仿宋_GB2312" w:hAnsi="仿宋_GB2312" w:cs="仿宋_GB2312" w:eastAsia="仿宋_GB2312"/>
                <w:sz w:val="24"/>
              </w:rPr>
              <w:t>“高效办成一件事”的办事指南，全面梳理企业购置一手房、二手房等业务场景，编制全省统一的业务流程；制定企业购置不动产转移登记“高效办成一件事”省级部门、单位之间的“总对总”接口对接技术规范，明确数据接入方式、传输方式、加密标准等，为全省对接提供标准依据。</w:t>
            </w:r>
          </w:p>
          <w:p>
            <w:pPr>
              <w:pStyle w:val="null3"/>
              <w:jc w:val="both"/>
            </w:pPr>
            <w:r>
              <w:rPr>
                <w:rFonts w:ascii="仿宋_GB2312" w:hAnsi="仿宋_GB2312" w:cs="仿宋_GB2312" w:eastAsia="仿宋_GB2312"/>
                <w:sz w:val="24"/>
                <w:b/>
              </w:rPr>
              <w:t>（二）省级部门对接</w:t>
            </w:r>
          </w:p>
          <w:p>
            <w:pPr>
              <w:pStyle w:val="null3"/>
              <w:jc w:val="both"/>
            </w:pPr>
            <w:r>
              <w:rPr>
                <w:rFonts w:ascii="仿宋_GB2312" w:hAnsi="仿宋_GB2312" w:cs="仿宋_GB2312" w:eastAsia="仿宋_GB2312"/>
                <w:sz w:val="24"/>
              </w:rPr>
              <w:t>根据省级部门提供的数据接口交互规范，与以下接口对接：一是省市场监管局的企业营业执照查询核验、法人身份信息核验、电子证照查询下载，二是省公安厅的个人身份核验，三是与省税务局的企业交易信息推送、纳税申报、审核结果获取、完税状态查询、附件传输、完税凭证获取，四是银行业金融机构的电子证照共享接口、抵押权注销申请接口。完成不动产登记信息共享接口开发工作，提供不动产登记数据查询和核验接口并注册到省级政务数据平台，配合</w:t>
            </w:r>
            <w:r>
              <w:rPr>
                <w:rFonts w:ascii="仿宋_GB2312" w:hAnsi="仿宋_GB2312" w:cs="仿宋_GB2312" w:eastAsia="仿宋_GB2312"/>
                <w:sz w:val="24"/>
              </w:rPr>
              <w:t>“高效办成一件事”牵头部门做好重点事项与业务场景中涉及不动产登记的数据共享应用，提高业务协同效率。</w:t>
            </w:r>
          </w:p>
          <w:p>
            <w:pPr>
              <w:pStyle w:val="null3"/>
              <w:jc w:val="both"/>
            </w:pPr>
            <w:r>
              <w:rPr>
                <w:rFonts w:ascii="仿宋_GB2312" w:hAnsi="仿宋_GB2312" w:cs="仿宋_GB2312" w:eastAsia="仿宋_GB2312"/>
                <w:sz w:val="24"/>
                <w:b/>
              </w:rPr>
              <w:t>（三）省市对接指导</w:t>
            </w:r>
          </w:p>
          <w:p>
            <w:pPr>
              <w:pStyle w:val="null3"/>
              <w:jc w:val="both"/>
            </w:pPr>
            <w:r>
              <w:rPr>
                <w:rFonts w:ascii="仿宋_GB2312" w:hAnsi="仿宋_GB2312" w:cs="仿宋_GB2312" w:eastAsia="仿宋_GB2312"/>
                <w:sz w:val="24"/>
              </w:rPr>
              <w:t>为支撑企业购置不动产转移登记</w:t>
            </w:r>
            <w:r>
              <w:rPr>
                <w:rFonts w:ascii="仿宋_GB2312" w:hAnsi="仿宋_GB2312" w:cs="仿宋_GB2312" w:eastAsia="仿宋_GB2312"/>
                <w:sz w:val="24"/>
              </w:rPr>
              <w:t>“高效办成一件事”改革在我省落地，指导各市开展与省级不动产登记“一窗办事”平台的6类接口对接工作，主要包括信息查询、业务申请、电子证照、税费统缴（个人、企业）、办件回传、国网电力，实现办件流转顺畅、税费可统缴、证照能正常出、结果可实时回传。</w:t>
            </w:r>
          </w:p>
          <w:p>
            <w:pPr>
              <w:pStyle w:val="null3"/>
              <w:jc w:val="both"/>
            </w:pPr>
            <w:r>
              <w:rPr>
                <w:rFonts w:ascii="仿宋_GB2312" w:hAnsi="仿宋_GB2312" w:cs="仿宋_GB2312" w:eastAsia="仿宋_GB2312"/>
                <w:sz w:val="24"/>
                <w:b/>
              </w:rPr>
              <w:t>（四）省政务平台对接</w:t>
            </w:r>
          </w:p>
          <w:p>
            <w:pPr>
              <w:pStyle w:val="null3"/>
              <w:jc w:val="both"/>
            </w:pPr>
            <w:r>
              <w:rPr>
                <w:rFonts w:ascii="仿宋_GB2312" w:hAnsi="仿宋_GB2312" w:cs="仿宋_GB2312" w:eastAsia="仿宋_GB2312"/>
                <w:sz w:val="24"/>
              </w:rPr>
              <w:t>依托陕西省政务服务网、秦务员</w:t>
            </w:r>
            <w:r>
              <w:rPr>
                <w:rFonts w:ascii="仿宋_GB2312" w:hAnsi="仿宋_GB2312" w:cs="仿宋_GB2312" w:eastAsia="仿宋_GB2312"/>
                <w:sz w:val="24"/>
              </w:rPr>
              <w:t>APP，搭建企业购置不动产转移登记 “一件事”统一办事入口。建设面向企业、个人以及联办申请前台模块，实现核税信息采集、企业营业执照自动核验、法人代理人身份自动核验、联办申请表及合同自动生成等功能。开展统一UI规范改造，完成统一身份认证、“好差评”系统对接，实现用户一次登录、一站办理、体验统一。完成省级不动产登记“一窗办事”平台与“高效办成一件事”平台接口对接工作，实现统一赋码、受理、办结、回传等功能。根据省政务一体化平台提供的统一用户体系接口规范，开发经办人相关接口，建设经办人管理模块和业务记录查询模块。</w:t>
            </w:r>
          </w:p>
          <w:p>
            <w:pPr>
              <w:pStyle w:val="null3"/>
              <w:jc w:val="both"/>
            </w:pPr>
            <w:r>
              <w:rPr>
                <w:rFonts w:ascii="仿宋_GB2312" w:hAnsi="仿宋_GB2312" w:cs="仿宋_GB2312" w:eastAsia="仿宋_GB2312"/>
                <w:sz w:val="24"/>
                <w:b/>
              </w:rPr>
              <w:t>（五）开展联调测试</w:t>
            </w:r>
          </w:p>
          <w:p>
            <w:pPr>
              <w:pStyle w:val="null3"/>
              <w:jc w:val="both"/>
            </w:pPr>
            <w:r>
              <w:rPr>
                <w:rFonts w:ascii="仿宋_GB2312" w:hAnsi="仿宋_GB2312" w:cs="仿宋_GB2312" w:eastAsia="仿宋_GB2312"/>
                <w:sz w:val="24"/>
              </w:rPr>
              <w:t>组织各相关部门、单位开展全流程联调测试，对系统页面展示、功能运行、数据调用、办件传输、数据回流、业务协同等环节进行全面优化调整。及时解决系统对接、数据共享、业务办理中的堵点问题，确保系统稳定运行、流程顺畅高效，测试完成后形成测试报告。</w:t>
            </w:r>
          </w:p>
          <w:p>
            <w:pPr>
              <w:pStyle w:val="null3"/>
              <w:jc w:val="both"/>
            </w:pPr>
            <w:r>
              <w:rPr>
                <w:rFonts w:ascii="仿宋_GB2312" w:hAnsi="仿宋_GB2312" w:cs="仿宋_GB2312" w:eastAsia="仿宋_GB2312"/>
                <w:sz w:val="24"/>
                <w:b/>
              </w:rPr>
              <w:t>（六）重要时期保障</w:t>
            </w:r>
          </w:p>
          <w:p>
            <w:pPr>
              <w:pStyle w:val="null3"/>
              <w:jc w:val="both"/>
            </w:pPr>
            <w:r>
              <w:rPr>
                <w:rFonts w:ascii="仿宋_GB2312" w:hAnsi="仿宋_GB2312" w:cs="仿宋_GB2312" w:eastAsia="仿宋_GB2312"/>
                <w:sz w:val="24"/>
              </w:rPr>
              <w:t>提供重要时期安全保障和安全应急响应服务，在春节、五一、中秋、国庆等节假日或重大活动期间，安排</w:t>
            </w:r>
            <w:r>
              <w:rPr>
                <w:rFonts w:ascii="仿宋_GB2312" w:hAnsi="仿宋_GB2312" w:cs="仿宋_GB2312" w:eastAsia="仿宋_GB2312"/>
                <w:sz w:val="24"/>
              </w:rPr>
              <w:t>2名以上技术专家，提供不少于21天的驻场服务，提供监测、值守和处置服务，确保在发生各类安全事件时能得到快速响应、专业处置。</w:t>
            </w:r>
          </w:p>
          <w:p>
            <w:pPr>
              <w:pStyle w:val="null3"/>
              <w:jc w:val="both"/>
            </w:pPr>
            <w:r>
              <w:rPr>
                <w:rFonts w:ascii="仿宋_GB2312" w:hAnsi="仿宋_GB2312" w:cs="仿宋_GB2312" w:eastAsia="仿宋_GB2312"/>
                <w:sz w:val="24"/>
                <w:b/>
              </w:rPr>
              <w:t>（七）等级保护测评</w:t>
            </w:r>
          </w:p>
          <w:p>
            <w:pPr>
              <w:pStyle w:val="null3"/>
              <w:jc w:val="both"/>
            </w:pPr>
            <w:r>
              <w:rPr>
                <w:rFonts w:ascii="仿宋_GB2312" w:hAnsi="仿宋_GB2312" w:cs="仿宋_GB2312" w:eastAsia="仿宋_GB2312"/>
                <w:sz w:val="24"/>
              </w:rPr>
              <w:t>按照国家相关法律法规要求，委托专业测评机构，对省级不动产登记信息管理基础平台、全省土地二级市场交易与监管平台共</w:t>
            </w:r>
            <w:r>
              <w:rPr>
                <w:rFonts w:ascii="仿宋_GB2312" w:hAnsi="仿宋_GB2312" w:cs="仿宋_GB2312" w:eastAsia="仿宋_GB2312"/>
                <w:sz w:val="24"/>
              </w:rPr>
              <w:t>2个已在公安部门备案的信息系统，开展2026年度网络安全三级等级保护测评工作，并按照向采购人提供测评报告。</w:t>
            </w:r>
          </w:p>
          <w:p>
            <w:pPr>
              <w:pStyle w:val="null3"/>
              <w:jc w:val="both"/>
            </w:pPr>
            <w:r>
              <w:rPr>
                <w:rFonts w:ascii="仿宋_GB2312" w:hAnsi="仿宋_GB2312" w:cs="仿宋_GB2312" w:eastAsia="仿宋_GB2312"/>
                <w:sz w:val="24"/>
                <w:b/>
              </w:rPr>
              <w:t>（八）相关要求</w:t>
            </w:r>
          </w:p>
          <w:p>
            <w:pPr>
              <w:pStyle w:val="null3"/>
              <w:jc w:val="both"/>
            </w:pPr>
            <w:r>
              <w:rPr>
                <w:rFonts w:ascii="仿宋_GB2312" w:hAnsi="仿宋_GB2312" w:cs="仿宋_GB2312" w:eastAsia="仿宋_GB2312"/>
                <w:sz w:val="24"/>
              </w:rPr>
              <w:t>1. 安全要求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1）应用系统上线前，要进行安全功能测试（包括漏洞扫描、渗透测试、源代码审计）。系统需支持在陕西省政务云平台（信创云）环境上部署和运行，支持国产化芯片、国产化操作系统。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采用校验技术或密码技术保证重要数据在传输、存储过程中的完整性、保密性，包括但不限于重要业务数据、配置数据和重要个人信息等。系统使用的密码技术应遵循密码相关国家标准和行业标准，应使用国家密码管理主管部门认证核准的密码技术和产品。</w:t>
            </w:r>
          </w:p>
          <w:p>
            <w:pPr>
              <w:pStyle w:val="null3"/>
              <w:jc w:val="both"/>
            </w:pPr>
            <w:r>
              <w:rPr>
                <w:rFonts w:ascii="仿宋_GB2312" w:hAnsi="仿宋_GB2312" w:cs="仿宋_GB2312" w:eastAsia="仿宋_GB2312"/>
                <w:sz w:val="24"/>
              </w:rPr>
              <w:t>2. 培训要求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1）供应商必须针对本项目内容进行培训，并提供完备的技术培训教材，培训的内容、时间及相关安排须与采购人协商，经采购人同意后方可实施。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2）项目实施前及实施期间，中标人要对参与项目的团队人员进行网络和数据安全、技能等方面培训、考核、警示教育等。</w:t>
            </w:r>
          </w:p>
          <w:p>
            <w:pPr>
              <w:pStyle w:val="null3"/>
              <w:jc w:val="both"/>
            </w:pPr>
            <w:r>
              <w:rPr>
                <w:rFonts w:ascii="仿宋_GB2312" w:hAnsi="仿宋_GB2312" w:cs="仿宋_GB2312" w:eastAsia="仿宋_GB2312"/>
                <w:sz w:val="24"/>
              </w:rPr>
              <w:t>3. 质量要求</w:t>
            </w:r>
          </w:p>
          <w:p>
            <w:pPr>
              <w:pStyle w:val="null3"/>
              <w:jc w:val="both"/>
            </w:pPr>
            <w:r>
              <w:rPr>
                <w:rFonts w:ascii="仿宋_GB2312" w:hAnsi="仿宋_GB2312" w:cs="仿宋_GB2312" w:eastAsia="仿宋_GB2312"/>
                <w:sz w:val="24"/>
              </w:rPr>
              <w:t>为保证本项目能按时高质的顺利完成，规避项目风险或将风险降至最低程度，严格遵循</w:t>
            </w:r>
            <w:r>
              <w:rPr>
                <w:rFonts w:ascii="仿宋_GB2312" w:hAnsi="仿宋_GB2312" w:cs="仿宋_GB2312" w:eastAsia="仿宋_GB2312"/>
                <w:sz w:val="24"/>
              </w:rPr>
              <w:t>ISO9001等标准建立项目质量管理体系。</w:t>
            </w:r>
          </w:p>
          <w:p>
            <w:pPr>
              <w:pStyle w:val="null3"/>
              <w:jc w:val="both"/>
            </w:pPr>
            <w:r>
              <w:rPr>
                <w:rFonts w:ascii="仿宋_GB2312" w:hAnsi="仿宋_GB2312" w:cs="仿宋_GB2312" w:eastAsia="仿宋_GB2312"/>
                <w:sz w:val="24"/>
              </w:rPr>
              <w:t>4. 人员要求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需为本项目配备专门的实施团队，配备具备5年以上项目管理经验的项目经理1名，并具备专业资格证书。中标供应商应保证项目组成员的稳定性，如特殊情况需要调整项目组成员的，应提前一个月书面通知采购人，经采购人同意后才能安排调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2）采购人在项目实际执行过程中发现项目经理不能按采购文件要求胜任相关工作的时候有权要求更换项目经理，供应商须在一个月内调整到位开展工作，否则采购人有权终止合同并报相关管理部门进行处理。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3）采购人要对中标人方参与项目人员开展背景审查，中标人需项目人员提供无犯罪记录证明，公司和个人均签署保密协议、网络安全承诺书等。</w:t>
            </w:r>
          </w:p>
          <w:p>
            <w:pPr>
              <w:pStyle w:val="null3"/>
              <w:jc w:val="both"/>
            </w:pPr>
            <w:r>
              <w:rPr>
                <w:rFonts w:ascii="仿宋_GB2312" w:hAnsi="仿宋_GB2312" w:cs="仿宋_GB2312" w:eastAsia="仿宋_GB2312"/>
                <w:sz w:val="24"/>
              </w:rPr>
              <w:t>5. 实施要求</w:t>
            </w:r>
          </w:p>
          <w:p>
            <w:pPr>
              <w:pStyle w:val="null3"/>
              <w:jc w:val="both"/>
            </w:pPr>
            <w:r>
              <w:rPr>
                <w:rFonts w:ascii="仿宋_GB2312" w:hAnsi="仿宋_GB2312" w:cs="仿宋_GB2312" w:eastAsia="仿宋_GB2312"/>
                <w:sz w:val="24"/>
              </w:rPr>
              <w:t>供应商应承诺做好项目实施的过程管理，做到全面、科学、合理的规划，保证投入项目的人员组织科学、充足，项目的进度计划合理、可行，项目各阶段的跟踪管理和质量保障措施完善。</w:t>
            </w:r>
          </w:p>
          <w:p>
            <w:pPr>
              <w:pStyle w:val="null3"/>
              <w:jc w:val="both"/>
            </w:pPr>
            <w:r>
              <w:rPr>
                <w:rFonts w:ascii="仿宋_GB2312" w:hAnsi="仿宋_GB2312" w:cs="仿宋_GB2312" w:eastAsia="仿宋_GB2312"/>
                <w:sz w:val="24"/>
              </w:rPr>
              <w:t>6. 成果要求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1）文档成果要求</w:t>
            </w:r>
          </w:p>
          <w:p>
            <w:pPr>
              <w:pStyle w:val="null3"/>
              <w:jc w:val="both"/>
            </w:pPr>
            <w:r>
              <w:rPr>
                <w:rFonts w:ascii="仿宋_GB2312" w:hAnsi="仿宋_GB2312" w:cs="仿宋_GB2312" w:eastAsia="仿宋_GB2312"/>
                <w:sz w:val="24"/>
              </w:rPr>
              <w:t>供应商需做好项目实施过程中各类文档的管理，包括但不限于项目实施计划、项目进展情况报告、会议纪要、培训记录、质量控制和风险防控措施文档等，并按采购人要求提供与汇报，协助采购人完成项目验收后的成果归档工作。</w:t>
            </w:r>
          </w:p>
          <w:p>
            <w:pPr>
              <w:pStyle w:val="null3"/>
              <w:jc w:val="both"/>
            </w:pPr>
            <w:r>
              <w:rPr>
                <w:rFonts w:ascii="仿宋_GB2312" w:hAnsi="仿宋_GB2312" w:cs="仿宋_GB2312" w:eastAsia="仿宋_GB2312"/>
                <w:sz w:val="24"/>
              </w:rPr>
              <w:t>在实施过程中，应按进度向采购人提供相应技术文档，包含但不限于以下内容的相关技术文档：系统需求分析文档、系统详细设计方案、系统数据库设计、系统测试大纲和测试报告、系统运行程序、源代码及详细说明、系统安装部署文档、系统使用手册、项目总结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2）软件成果要求</w:t>
            </w:r>
          </w:p>
          <w:p>
            <w:pPr>
              <w:pStyle w:val="null3"/>
              <w:jc w:val="both"/>
            </w:pPr>
            <w:r>
              <w:rPr>
                <w:rFonts w:ascii="仿宋_GB2312" w:hAnsi="仿宋_GB2312" w:cs="仿宋_GB2312" w:eastAsia="仿宋_GB2312"/>
                <w:sz w:val="24"/>
              </w:rPr>
              <w:t>以光盘介质提供系统的全部源代码、安装程序。</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需为本项目配备专门的实施团队，配备具备5年以上项目管理经验的项目经理1名，并具备专业资格证书。中标供应商应保证项目组成员的稳定性，如特殊情况需要调整项目组成员的，应提前一个月书面通知采购人，经采购人同意后才能安排调整。 （2）采购人在项目实际执行过程中发现项目经理不能按采购文件要求胜任相关工作的时候有权要求更换项目经理，供应商须在一个月内调整到位开展工作，否则采购人有权终止合同并报相关管理部门进行处理。 （3）采购人要对中标人方参与项目人员开展背景审查，中标人需项目人员提供无犯罪记录证明，公司和个人均签署保密协议、网络安全承诺书等。</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具体详见技术参数与性能指标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符合合同条款要求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自合同签订之日起至2026年12月10日前完成项目内容，并且通过采购人验收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符合国家标准规范 （1）服务质量必须与合同要求一致，未按合同或采购文件要求提供服务或服务质量不能满足采购人要求，采购单位有权终止合同，甚至对供应商违约行为进行追究； （2）验收依据： ①采购文件、响应文件、澄清表（函）； ②本合同及附件文本；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预付款，1. 合同生效后，采购方在收到中标供应商提供的税务部门认可的有效发票，达到付款条件起10个工作日内，支付合同总金额的60.0%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进度款，目通过验收并经采购方确认后，采购方在收到中标供应商提供的税务部门认可的有效发票，达到付款条件起10个工作日内，支付合同总金额的40.0%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按《中华人民共和国民法典》中的相关条款执行。②未按合同要求提供满足服务要求的成果文件，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2）合同执行中发生争议的，当事人双方应协商解决，协商达不成一致时，可向采购方所在地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 提供有效合格的统一社会信用代码的营业执照，其他组织经营的须提供合法凭证， 自然人的提供身份证明文件; 2.法定代表人授权委托书、被授权人身份证（法定代表人参加投标时,只需提供法定代表 人身份证）； 3.税收缴纳证明：提供2026年1月1日至今已缴纳的任意一个月的 纳税证明或完税证明，依法免税的单位应提供相关证明材料； 4.社会保障资金缴纳证明： 提供2026年1月1日至今已缴纳的任意一个月的社会保障资金缴存单据或社保机构开具的社会保险参保缴费情况证明。（依法不需要缴纳社会保障资金的单位应提供相关证明材料） ； 5.参加政府采购活动前三年内，在经营活动中没有重大违法记录的书面声明 ；6.具备履行合同所必须的设备和专业技术能力的书面声明。7.信誉要求：投标人未被列入信用中国网站(www.creditchina.gov.cn)“失信被执行人、重大税收违法失信主体名单 、政府采购严重违法失信名单” ；不处于中国政府采购网(www.ccgp. gov.cn)“政府采购严重违法失信行为信息记录” 中的禁止参加政府采购活动期间；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企业赋码后2024年度或2025年度经会计师事务所或审计机构审计的财务审计报告（成立时间至提交投标文件截止时间不足一年的可提供成立后任意时段的资产负债表、利润表、现金流量表），或投标截止时间前六个月内基本账户银行出具的资信证明，提供财务审计报告的需在注册会计师行业统一监管平台（http://acc.mof.gov.cn/）可查询并提供网页查询截图；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1、《政府采购促进中小企业发展管理办法》（财库〔2020〕46号）； 2、《财政部 司法部关于政府采购支持监狱企业发展有关问题的通知》（财库〔2014〕68号）； 3、《国务院办公厅关于建立政府强制采购节能产品制度的通 知》（国办发〔2007〕51号）； 4、《财政部环保总局关于环境标志产品政府采购实施的意见》（财库〔2006〕90号）； 5、《财政部国家发展改革委关于印发〈节能产品政府采购实施意见〉的通知》（财库〔2004〕185号）； 6、《财政部 民政部 中国残疾人联合会关于促进残疾人就业政府采购政策的通知》（财库〔2017〕141号）； 7、《财政部 发展改革委生态环境部 市场监管总局关于调整优化节能产品、环境标志产品政府采购执行机制的通知》 （财库〔2019〕9号）；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 购信用融资工作的通知》（陕财办采〔2020〕15号）。 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投标文件构成是否有重大缺项，是否按照招标文件要求的格式编写投标文件。</w:t>
            </w:r>
          </w:p>
        </w:tc>
        <w:tc>
          <w:tcPr>
            <w:tcW w:type="dxa" w:w="1661"/>
          </w:tcPr>
          <w:p>
            <w:pPr>
              <w:pStyle w:val="null3"/>
            </w:pPr>
            <w:r>
              <w:rPr>
                <w:rFonts w:ascii="仿宋_GB2312" w:hAnsi="仿宋_GB2312" w:cs="仿宋_GB2312" w:eastAsia="仿宋_GB2312"/>
              </w:rPr>
              <w:t>开标一览表 业绩.docx 1.项目需求分析.docx 项目团队及主要技术支持人员.docx 中小企业声明函 7.其他要说明的问题.docx 资格证明文件.docx 5.进度及成果交付计划、保障措施.docx 分项报价表.docx 商务响应偏离表.docx 2.实施方案.docx 投标函 残疾人福利性单位声明函 标的清单 投标文件封面 3.项目服务、运维服务质量保障.docx 6.应急预案及培训方案.docx 4.拟投入本项目服务人员.docx 陕西省政府采购供应商拒绝政府采购领域商业贿赂承诺书.docx 监狱企业的证明文件 资质证书及认证证书.docx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一、评审内容针对本项目提出适用于本项目的项目需求分析，内容包括：①对项目背景分析②服务目标。 二、评审标准 1、完整性：内容必须全面，对评审内容中的各项要求有详细描述；2、可实施性：切合本项目实际情况，提出清晰、合理的内容；3、针对性：内容能够紧扣项目实际情况，内容科学合理。 三、赋分标准（满分3分）每完全满足一项评审标准得0.5分，满分1.5分。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1.项目需求分析.docx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一、评审内容供应商提出针对本项目的实施方案，内容包括：①业务流程规范、②省级部门对接、③省市对接指导、④省政务平台对接、⑤开展联调测试、⑥重要时期保障、⑦等级保护测评。 二、评审标准 1、完整性：方案必须全面，对评审内容中的各项要求有详细描述； 2、可实施性：切合本项目实际情况，提出步骤清晰、合理的方案；3、针对性：方案能够紧扣项目实际情况，内容科学合理。 三、赋分标准（满分21分）：实施方案：每完全满足一个评审标准得1分，满分3分。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项目服务、运维服务质量保障</w:t>
            </w:r>
          </w:p>
        </w:tc>
        <w:tc>
          <w:tcPr>
            <w:tcW w:type="dxa" w:w="2492"/>
          </w:tcPr>
          <w:p>
            <w:pPr>
              <w:pStyle w:val="null3"/>
            </w:pPr>
            <w:r>
              <w:rPr>
                <w:rFonts w:ascii="仿宋_GB2312" w:hAnsi="仿宋_GB2312" w:cs="仿宋_GB2312" w:eastAsia="仿宋_GB2312"/>
              </w:rPr>
              <w:t>一、评审内容供应商提出针对本项目服务、运维服务质量保障，内容包括：①服务保障体系②服务质量保障措施③运维服务保障方案。 二、评审标准 1、完整性：方案必须全面，对评审内容中的各项要求有详细描述； 2、可实施性：切合本项目实际情况，提出步骤清晰、合理的方案；3、针对性：方案能够紧扣项目实际情况，内容科学合理。 三、赋分标准（满分4.5分） ① 服务保障体系：每完全满足一个评审标准得0.5分，满分1.5分； ②服务质量保障措施：每完全满足一个评审标准得0.5分，满分1.5分；③运维服务保障方案：每完全满足一个评审标准得0.5分，满分1.5分。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3.项目服务、运维服务质量保障.docx</w:t>
            </w:r>
          </w:p>
        </w:tc>
      </w:tr>
      <w:tr>
        <w:tc>
          <w:tcPr>
            <w:tcW w:type="dxa" w:w="831"/>
            <w:vMerge/>
          </w:tcPr>
          <w:p/>
        </w:tc>
        <w:tc>
          <w:tcPr>
            <w:tcW w:type="dxa" w:w="1661"/>
          </w:tcPr>
          <w:p>
            <w:pPr>
              <w:pStyle w:val="null3"/>
            </w:pPr>
            <w:r>
              <w:rPr>
                <w:rFonts w:ascii="仿宋_GB2312" w:hAnsi="仿宋_GB2312" w:cs="仿宋_GB2312" w:eastAsia="仿宋_GB2312"/>
              </w:rPr>
              <w:t>拟投入本项目服务人员</w:t>
            </w:r>
          </w:p>
        </w:tc>
        <w:tc>
          <w:tcPr>
            <w:tcW w:type="dxa" w:w="2492"/>
          </w:tcPr>
          <w:p>
            <w:pPr>
              <w:pStyle w:val="null3"/>
            </w:pPr>
            <w:r>
              <w:rPr>
                <w:rFonts w:ascii="仿宋_GB2312" w:hAnsi="仿宋_GB2312" w:cs="仿宋_GB2312" w:eastAsia="仿宋_GB2312"/>
              </w:rPr>
              <w:t>一、评审内容 根据供应商拟投入本项目服务人员进行评审，内容包括：①项目团队人员配备充足，核心技术人员（开发、测试、运维）配置完整； ②岗位分工及人员管理制度。 二、评审标准 1、完整性：方案须全面，对评审内容中的各项要求有详细描述及说明 2、可实施性：切合本项目实际情况，实施步骤清晰、合理 3、针对性：方案能够紧扣项目实际情况，内容科学合理。 三、赋分标准（满分4.5分） ①项目团队人员配备充足，核心技术人员（开发、测试、运维）配置完整；5人及以上的，计3分；3-4人的，计2分；1-2人的，计1分； ②人员数量及岗位分工：每完全满足一项评审标准得0.5分，满分1.5分；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4.拟投入本项目服务人员.docx</w:t>
            </w:r>
          </w:p>
        </w:tc>
      </w:tr>
      <w:tr>
        <w:tc>
          <w:tcPr>
            <w:tcW w:type="dxa" w:w="831"/>
            <w:vMerge/>
          </w:tcPr>
          <w:p/>
        </w:tc>
        <w:tc>
          <w:tcPr>
            <w:tcW w:type="dxa" w:w="1661"/>
          </w:tcPr>
          <w:p>
            <w:pPr>
              <w:pStyle w:val="null3"/>
            </w:pPr>
            <w:r>
              <w:rPr>
                <w:rFonts w:ascii="仿宋_GB2312" w:hAnsi="仿宋_GB2312" w:cs="仿宋_GB2312" w:eastAsia="仿宋_GB2312"/>
              </w:rPr>
              <w:t>进度及成果交付计划、保障措施</w:t>
            </w:r>
          </w:p>
        </w:tc>
        <w:tc>
          <w:tcPr>
            <w:tcW w:type="dxa" w:w="2492"/>
          </w:tcPr>
          <w:p>
            <w:pPr>
              <w:pStyle w:val="null3"/>
            </w:pPr>
            <w:r>
              <w:rPr>
                <w:rFonts w:ascii="仿宋_GB2312" w:hAnsi="仿宋_GB2312" w:cs="仿宋_GB2312" w:eastAsia="仿宋_GB2312"/>
              </w:rPr>
              <w:t>一、评审内容 根据供应商工作进度及成果交付方案进行评审，内容包括①工作进度、成果交付计划安排②工作时效、成果交付时效保证措施。 二、评审标准 1、完整性：方案须全面，对评审内容中的各项要求有详细描述及说明 2、可实施性：切合本项目实际情况，实施步骤清晰、合理 3、针对性：方案能够紧扣项目实际情况，内容科学合理。 三、赋分标准（满分3分）①工作进度、成果交付计划安排：每完全满足一项评审标准得0.5分，满分1.5分；②工作时效、成果交付时效保证措施：每完全满足一项评审标准得0.5分，满分1.5分。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5.进度及成果交付计划、保障措施.docx</w:t>
            </w:r>
          </w:p>
        </w:tc>
      </w:tr>
      <w:tr>
        <w:tc>
          <w:tcPr>
            <w:tcW w:type="dxa" w:w="831"/>
            <w:vMerge/>
          </w:tcPr>
          <w:p/>
        </w:tc>
        <w:tc>
          <w:tcPr>
            <w:tcW w:type="dxa" w:w="1661"/>
          </w:tcPr>
          <w:p>
            <w:pPr>
              <w:pStyle w:val="null3"/>
            </w:pPr>
            <w:r>
              <w:rPr>
                <w:rFonts w:ascii="仿宋_GB2312" w:hAnsi="仿宋_GB2312" w:cs="仿宋_GB2312" w:eastAsia="仿宋_GB2312"/>
              </w:rPr>
              <w:t>应急预案及培训方案</w:t>
            </w:r>
          </w:p>
        </w:tc>
        <w:tc>
          <w:tcPr>
            <w:tcW w:type="dxa" w:w="2492"/>
          </w:tcPr>
          <w:p>
            <w:pPr>
              <w:pStyle w:val="null3"/>
            </w:pPr>
            <w:r>
              <w:rPr>
                <w:rFonts w:ascii="仿宋_GB2312" w:hAnsi="仿宋_GB2312" w:cs="仿宋_GB2312" w:eastAsia="仿宋_GB2312"/>
              </w:rPr>
              <w:t>一、评审内容 供应商针对本项目提供应急预案及培训方案，内容包含①应急响应方案②培训方案 二、评审标准 1、完整性：方案须全面，对评审内容中的各项要求有详细描述及说明 2、可实施性：切合本项目实际情况，实施步骤清晰、合理 3、针对性：方案能够紧扣项目实际情况，内容科学合理。 三、赋分标准（满分3分） ①应急响应方案：每完全满足一项评审标准得0.5分，满分1.5分。 ②培训方案：每完全满足一项评审标准得0.5分，满分1.5分。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6.应急预案及培训方案.docx</w:t>
            </w:r>
          </w:p>
        </w:tc>
      </w:tr>
      <w:tr>
        <w:tc>
          <w:tcPr>
            <w:tcW w:type="dxa" w:w="831"/>
            <w:vMerge/>
          </w:tcPr>
          <w:p/>
        </w:tc>
        <w:tc>
          <w:tcPr>
            <w:tcW w:type="dxa" w:w="1661"/>
          </w:tcPr>
          <w:p>
            <w:pPr>
              <w:pStyle w:val="null3"/>
            </w:pPr>
            <w:r>
              <w:rPr>
                <w:rFonts w:ascii="仿宋_GB2312" w:hAnsi="仿宋_GB2312" w:cs="仿宋_GB2312" w:eastAsia="仿宋_GB2312"/>
              </w:rPr>
              <w:t>资质证书及认证证书</w:t>
            </w:r>
          </w:p>
        </w:tc>
        <w:tc>
          <w:tcPr>
            <w:tcW w:type="dxa" w:w="2492"/>
          </w:tcPr>
          <w:p>
            <w:pPr>
              <w:pStyle w:val="null3"/>
            </w:pPr>
            <w:r>
              <w:rPr>
                <w:rFonts w:ascii="仿宋_GB2312" w:hAnsi="仿宋_GB2312" w:cs="仿宋_GB2312" w:eastAsia="仿宋_GB2312"/>
              </w:rPr>
              <w:t>供应商提供： 信息安全管理体系认证证书，计5分； 信息技术服务管理体系认证证书 (ISO20000)，计5分； ITSS 信息技术服务认证证书，计5分、 CMMI能力成熟度证书，计5分； 每提供一个得5分，最高20分，不提供不得分。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资质证书及认证证书.docx</w:t>
            </w:r>
          </w:p>
        </w:tc>
      </w:tr>
      <w:tr>
        <w:tc>
          <w:tcPr>
            <w:tcW w:type="dxa" w:w="831"/>
            <w:vMerge/>
          </w:tcPr>
          <w:p/>
        </w:tc>
        <w:tc>
          <w:tcPr>
            <w:tcW w:type="dxa" w:w="1661"/>
          </w:tcPr>
          <w:p>
            <w:pPr>
              <w:pStyle w:val="null3"/>
            </w:pPr>
            <w:r>
              <w:rPr>
                <w:rFonts w:ascii="仿宋_GB2312" w:hAnsi="仿宋_GB2312" w:cs="仿宋_GB2312" w:eastAsia="仿宋_GB2312"/>
              </w:rPr>
              <w:t>主要技术支持人员</w:t>
            </w:r>
          </w:p>
        </w:tc>
        <w:tc>
          <w:tcPr>
            <w:tcW w:type="dxa" w:w="2492"/>
          </w:tcPr>
          <w:p>
            <w:pPr>
              <w:pStyle w:val="null3"/>
            </w:pPr>
            <w:r>
              <w:rPr>
                <w:rFonts w:ascii="仿宋_GB2312" w:hAnsi="仿宋_GB2312" w:cs="仿宋_GB2312" w:eastAsia="仿宋_GB2312"/>
              </w:rPr>
              <w:t>针对本项目拟派技术支持人员 1.项目经理需具备计算机类高级职称证书，4分； 2.提供项目经理自2021年1月1日至今类似业绩，合同或中标通知书或甲方出具的加盖甲方公章的相关证明材料中能体现项目经理名字扫描件，加盖公章为准提供1份，计3分，共计12分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项目团队及主要技术支持人员.docx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提供2023年1月1日起至今类似业绩，以中标通知书或合同扫描件，加盖公章为准，提供一份计3分，共计15分。备注：本项业绩与主要技术支持人员业绩，不能重复提供。</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商务响应偏离表.docx</w:t>
            </w:r>
          </w:p>
          <w:p>
            <w:pPr>
              <w:pStyle w:val="null3"/>
            </w:pPr>
            <w:r>
              <w:rPr>
                <w:rFonts w:ascii="仿宋_GB2312" w:hAnsi="仿宋_GB2312" w:cs="仿宋_GB2312" w:eastAsia="仿宋_GB2312"/>
              </w:rPr>
              <w:t>1.项目需求分析.docx</w:t>
            </w:r>
          </w:p>
          <w:p>
            <w:pPr>
              <w:pStyle w:val="null3"/>
            </w:pPr>
            <w:r>
              <w:rPr>
                <w:rFonts w:ascii="仿宋_GB2312" w:hAnsi="仿宋_GB2312" w:cs="仿宋_GB2312" w:eastAsia="仿宋_GB2312"/>
              </w:rPr>
              <w:t>2.实施方案.docx</w:t>
            </w:r>
          </w:p>
          <w:p>
            <w:pPr>
              <w:pStyle w:val="null3"/>
            </w:pPr>
            <w:r>
              <w:rPr>
                <w:rFonts w:ascii="仿宋_GB2312" w:hAnsi="仿宋_GB2312" w:cs="仿宋_GB2312" w:eastAsia="仿宋_GB2312"/>
              </w:rPr>
              <w:t>3.项目服务、运维服务质量保障.docx</w:t>
            </w:r>
          </w:p>
          <w:p>
            <w:pPr>
              <w:pStyle w:val="null3"/>
            </w:pPr>
            <w:r>
              <w:rPr>
                <w:rFonts w:ascii="仿宋_GB2312" w:hAnsi="仿宋_GB2312" w:cs="仿宋_GB2312" w:eastAsia="仿宋_GB2312"/>
              </w:rPr>
              <w:t>4.拟投入本项目服务人员.docx</w:t>
            </w:r>
          </w:p>
          <w:p>
            <w:pPr>
              <w:pStyle w:val="null3"/>
            </w:pPr>
            <w:r>
              <w:rPr>
                <w:rFonts w:ascii="仿宋_GB2312" w:hAnsi="仿宋_GB2312" w:cs="仿宋_GB2312" w:eastAsia="仿宋_GB2312"/>
              </w:rPr>
              <w:t>5.进度及成果交付计划、保障措施.docx</w:t>
            </w:r>
          </w:p>
          <w:p>
            <w:pPr>
              <w:pStyle w:val="null3"/>
            </w:pPr>
            <w:r>
              <w:rPr>
                <w:rFonts w:ascii="仿宋_GB2312" w:hAnsi="仿宋_GB2312" w:cs="仿宋_GB2312" w:eastAsia="仿宋_GB2312"/>
              </w:rPr>
              <w:t>6.应急预案及培训方案.docx</w:t>
            </w:r>
          </w:p>
          <w:p>
            <w:pPr>
              <w:pStyle w:val="null3"/>
            </w:pPr>
            <w:r>
              <w:rPr>
                <w:rFonts w:ascii="仿宋_GB2312" w:hAnsi="仿宋_GB2312" w:cs="仿宋_GB2312" w:eastAsia="仿宋_GB2312"/>
              </w:rPr>
              <w:t>7.其他要说明的问题.docx</w:t>
            </w:r>
          </w:p>
          <w:p>
            <w:pPr>
              <w:pStyle w:val="null3"/>
            </w:pPr>
            <w:r>
              <w:rPr>
                <w:rFonts w:ascii="仿宋_GB2312" w:hAnsi="仿宋_GB2312" w:cs="仿宋_GB2312" w:eastAsia="仿宋_GB2312"/>
              </w:rPr>
              <w:t>项目团队及主要技术支持人员.docx</w:t>
            </w:r>
          </w:p>
          <w:p>
            <w:pPr>
              <w:pStyle w:val="null3"/>
            </w:pPr>
            <w:r>
              <w:rPr>
                <w:rFonts w:ascii="仿宋_GB2312" w:hAnsi="仿宋_GB2312" w:cs="仿宋_GB2312" w:eastAsia="仿宋_GB2312"/>
              </w:rPr>
              <w:t>资质证书及认证证书.docx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采用低价优先法计算，即满足招标文件要求且最后报价最低的供应商的价格为投标基准价，其价格分为满分。投标报价得分＝（投标基准价/投标报价）×价格分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详见附件：1.项目需求分析.docx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详见附件：3.项目服务、运维服务质量保障.docx</w:t>
      </w:r>
    </w:p>
    <w:p>
      <w:pPr>
        <w:pStyle w:val="null3"/>
        <w:ind w:firstLine="960"/>
      </w:pPr>
      <w:r>
        <w:rPr>
          <w:rFonts w:ascii="仿宋_GB2312" w:hAnsi="仿宋_GB2312" w:cs="仿宋_GB2312" w:eastAsia="仿宋_GB2312"/>
        </w:rPr>
        <w:t>详见附件：4.拟投入本项目服务人员.docx</w:t>
      </w:r>
    </w:p>
    <w:p>
      <w:pPr>
        <w:pStyle w:val="null3"/>
        <w:ind w:firstLine="960"/>
      </w:pPr>
      <w:r>
        <w:rPr>
          <w:rFonts w:ascii="仿宋_GB2312" w:hAnsi="仿宋_GB2312" w:cs="仿宋_GB2312" w:eastAsia="仿宋_GB2312"/>
        </w:rPr>
        <w:t>详见附件：5.进度及成果交付计划、保障措施.docx</w:t>
      </w:r>
    </w:p>
    <w:p>
      <w:pPr>
        <w:pStyle w:val="null3"/>
        <w:ind w:firstLine="960"/>
      </w:pPr>
      <w:r>
        <w:rPr>
          <w:rFonts w:ascii="仿宋_GB2312" w:hAnsi="仿宋_GB2312" w:cs="仿宋_GB2312" w:eastAsia="仿宋_GB2312"/>
        </w:rPr>
        <w:t>详见附件：6.应急预案及培训方案.docx</w:t>
      </w:r>
    </w:p>
    <w:p>
      <w:pPr>
        <w:pStyle w:val="null3"/>
        <w:ind w:firstLine="960"/>
      </w:pPr>
      <w:r>
        <w:rPr>
          <w:rFonts w:ascii="仿宋_GB2312" w:hAnsi="仿宋_GB2312" w:cs="仿宋_GB2312" w:eastAsia="仿宋_GB2312"/>
        </w:rPr>
        <w:t>详见附件：7.其他要说明的问题.docx</w:t>
      </w:r>
    </w:p>
    <w:p>
      <w:pPr>
        <w:pStyle w:val="null3"/>
        <w:ind w:firstLine="960"/>
      </w:pPr>
      <w:r>
        <w:rPr>
          <w:rFonts w:ascii="仿宋_GB2312" w:hAnsi="仿宋_GB2312" w:cs="仿宋_GB2312" w:eastAsia="仿宋_GB2312"/>
        </w:rPr>
        <w:t>详见附件：项目团队及主要技术支持人员.docx</w:t>
      </w:r>
    </w:p>
    <w:p>
      <w:pPr>
        <w:pStyle w:val="null3"/>
        <w:ind w:firstLine="960"/>
      </w:pPr>
      <w:r>
        <w:rPr>
          <w:rFonts w:ascii="仿宋_GB2312" w:hAnsi="仿宋_GB2312" w:cs="仿宋_GB2312" w:eastAsia="仿宋_GB2312"/>
        </w:rPr>
        <w:t>详见附件：资质证书及认证证书.docx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