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61F4A">
      <w:pPr>
        <w:spacing w:line="360" w:lineRule="auto"/>
        <w:ind w:firstLine="723" w:firstLineChars="200"/>
        <w:jc w:val="center"/>
        <w:rPr>
          <w:rFonts w:ascii="仿宋_GB2312" w:hAnsi="仿宋_GB2312" w:eastAsia="仿宋_GB2312" w:cs="仿宋_GB2312"/>
          <w:b/>
          <w:bCs/>
          <w:sz w:val="36"/>
          <w:szCs w:val="28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36"/>
          <w:szCs w:val="28"/>
        </w:rPr>
        <w:t>项目服务、运维服务质量保障</w:t>
      </w:r>
    </w:p>
    <w:p w14:paraId="66FECA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850FF"/>
    <w:rsid w:val="37CB644A"/>
    <w:rsid w:val="43D1432D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2026-07-30T08:37:53Z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