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60E5F">
      <w:pPr>
        <w:spacing w:line="360" w:lineRule="auto"/>
        <w:ind w:firstLine="643" w:firstLineChars="200"/>
        <w:jc w:val="center"/>
        <w:rPr>
          <w:rFonts w:ascii="仿宋_GB2312" w:hAnsi="仿宋_GB2312" w:eastAsia="仿宋_GB2312" w:cs="仿宋_GB2312"/>
          <w:b/>
          <w:bCs/>
          <w:sz w:val="32"/>
          <w:szCs w:val="24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24"/>
          <w:lang w:val="en-US" w:eastAsia="zh-CN"/>
        </w:rPr>
        <w:t>5.</w:t>
      </w:r>
      <w:r>
        <w:rPr>
          <w:rFonts w:ascii="仿宋_GB2312" w:hAnsi="仿宋_GB2312" w:eastAsia="仿宋_GB2312" w:cs="仿宋_GB2312"/>
          <w:b/>
          <w:bCs/>
          <w:sz w:val="32"/>
          <w:szCs w:val="24"/>
        </w:rPr>
        <w:t>进度及成果交付计划、保障措施</w:t>
      </w:r>
    </w:p>
    <w:bookmarkEnd w:id="0"/>
    <w:p w14:paraId="14A0E7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3FF45C41"/>
    <w:rsid w:val="43D1432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