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90403">
      <w:pPr>
        <w:jc w:val="center"/>
        <w:outlineLvl w:val="1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42944255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93B7A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企业法人应提供合法有效的标识有统一社会信用代码的营业执照</w:t>
      </w:r>
      <w:r>
        <w:rPr>
          <w:rFonts w:hint="eastAsia" w:ascii="仿宋_GB2312" w:hAnsi="仿宋_GB2312" w:eastAsia="仿宋_GB2312" w:cs="仿宋_GB2312"/>
          <w:sz w:val="28"/>
          <w:szCs w:val="28"/>
        </w:rPr>
        <w:t>；事业法人提供事业单位法人证书；其他组织提供合法登记证明文件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自然人提供身份证。</w:t>
      </w:r>
    </w:p>
    <w:p w14:paraId="419F29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559" w:leftChars="266" w:firstLine="0" w:firstLineChars="0"/>
        <w:jc w:val="both"/>
        <w:textAlignment w:val="baseline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7B2E03E4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6641A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926641A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2025-12-11T07:57:00Z</dcterms:created>
  <dc:creator>华采</dc:creator>
  <cp:lastModifiedBy>华采</cp:lastModifiedBy>
  <dcterms:modified xsi:type="dcterms:W3CDTF">2025-12-11T07:57:21Z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D24FD49682C944CAB1B72E85E9518256_11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