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34AC95">
      <w:pPr>
        <w:autoSpaceDE w:val="0"/>
        <w:autoSpaceDN w:val="0"/>
        <w:adjustRightInd w:val="0"/>
        <w:snapToGrid w:val="0"/>
        <w:spacing w:line="360" w:lineRule="auto"/>
        <w:jc w:val="center"/>
        <w:outlineLvl w:val="0"/>
        <w:rPr>
          <w:rFonts w:hint="eastAsia" w:ascii="黑体" w:hAnsi="黑体" w:eastAsia="黑体" w:cs="黑体"/>
          <w:b/>
          <w:bCs/>
          <w:color w:val="auto"/>
          <w:kern w:val="2"/>
          <w:sz w:val="32"/>
          <w:szCs w:val="32"/>
          <w:highlight w:val="none"/>
          <w:lang w:val="en-US" w:eastAsia="zh-CN" w:bidi="ar-SA"/>
        </w:rPr>
      </w:pPr>
      <w:r>
        <w:rPr>
          <w:rFonts w:hint="eastAsia" w:ascii="仿宋_GB2312" w:hAnsi="仿宋_GB2312" w:eastAsia="仿宋_GB2312" w:cs="仿宋_GB2312"/>
          <w:b/>
          <w:bCs/>
          <w:spacing w:val="6"/>
          <w:sz w:val="36"/>
          <w:szCs w:val="36"/>
          <w:lang w:eastAsia="zh-CN"/>
        </w:rPr>
        <w:t>拟签订采购合同文本</w:t>
      </w:r>
    </w:p>
    <w:p w14:paraId="030D3200">
      <w:pPr>
        <w:keepNext w:val="0"/>
        <w:keepLines w:val="0"/>
        <w:pageBreakBefore w:val="0"/>
        <w:kinsoku/>
        <w:wordWrap/>
        <w:overflowPunct/>
        <w:topLinePunct w:val="0"/>
        <w:autoSpaceDE w:val="0"/>
        <w:autoSpaceDN w:val="0"/>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 xml:space="preserve">甲方（采购人）： </w:t>
      </w:r>
    </w:p>
    <w:p w14:paraId="43593795">
      <w:pPr>
        <w:keepNext w:val="0"/>
        <w:keepLines w:val="0"/>
        <w:pageBreakBefore w:val="0"/>
        <w:kinsoku/>
        <w:wordWrap/>
        <w:overflowPunct/>
        <w:topLinePunct w:val="0"/>
        <w:autoSpaceDE w:val="0"/>
        <w:autoSpaceDN w:val="0"/>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 xml:space="preserve">乙方（成交供应商）： </w:t>
      </w:r>
    </w:p>
    <w:p w14:paraId="0BC0CE93">
      <w:pPr>
        <w:keepNext w:val="0"/>
        <w:keepLines w:val="0"/>
        <w:pageBreakBefore w:val="0"/>
        <w:kinsoku/>
        <w:wordWrap/>
        <w:overflowPunct/>
        <w:topLinePunct w:val="0"/>
        <w:autoSpaceDE w:val="0"/>
        <w:autoSpaceDN w:val="0"/>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highlight w:val="none"/>
          <w:u w:val="single"/>
        </w:rPr>
      </w:pPr>
      <w:r>
        <w:rPr>
          <w:rFonts w:hint="eastAsia" w:ascii="仿宋_GB2312" w:hAnsi="仿宋_GB2312" w:eastAsia="仿宋_GB2312" w:cs="仿宋_GB2312"/>
          <w:bCs/>
          <w:sz w:val="32"/>
          <w:szCs w:val="32"/>
          <w:highlight w:val="none"/>
          <w:u w:val="single"/>
        </w:rPr>
        <w:t>2026年西安高新区社区教育服务项目</w:t>
      </w:r>
      <w:bookmarkStart w:id="0" w:name="_GoBack"/>
      <w:bookmarkEnd w:id="0"/>
      <w:r>
        <w:rPr>
          <w:rFonts w:hint="eastAsia" w:ascii="仿宋_GB2312" w:hAnsi="仿宋_GB2312" w:eastAsia="仿宋_GB2312" w:cs="仿宋_GB2312"/>
          <w:bCs/>
          <w:sz w:val="32"/>
          <w:szCs w:val="32"/>
          <w:highlight w:val="none"/>
          <w:u w:val="single"/>
        </w:rPr>
        <w:t>(项目编号：</w:t>
      </w:r>
      <w:r>
        <w:rPr>
          <w:rFonts w:hint="eastAsia" w:ascii="仿宋_GB2312" w:hAnsi="仿宋_GB2312" w:eastAsia="仿宋_GB2312" w:cs="仿宋_GB2312"/>
          <w:bCs/>
          <w:sz w:val="32"/>
          <w:szCs w:val="32"/>
          <w:highlight w:val="none"/>
          <w:u w:val="single"/>
          <w:lang w:eastAsia="zh-CN"/>
        </w:rPr>
        <w:t>SXHC2026-0</w:t>
      </w:r>
      <w:r>
        <w:rPr>
          <w:rFonts w:hint="eastAsia" w:ascii="仿宋_GB2312" w:hAnsi="仿宋_GB2312" w:eastAsia="仿宋_GB2312" w:cs="仿宋_GB2312"/>
          <w:bCs/>
          <w:sz w:val="32"/>
          <w:szCs w:val="32"/>
          <w:highlight w:val="none"/>
          <w:u w:val="single"/>
          <w:lang w:val="en-US" w:eastAsia="zh-CN"/>
        </w:rPr>
        <w:t>67</w:t>
      </w:r>
      <w:r>
        <w:rPr>
          <w:rFonts w:hint="eastAsia" w:ascii="仿宋_GB2312" w:hAnsi="仿宋_GB2312" w:eastAsia="仿宋_GB2312" w:cs="仿宋_GB2312"/>
          <w:bCs/>
          <w:sz w:val="32"/>
          <w:szCs w:val="32"/>
          <w:highlight w:val="none"/>
          <w:u w:val="single"/>
        </w:rPr>
        <w:t>)</w:t>
      </w:r>
      <w:r>
        <w:rPr>
          <w:rFonts w:hint="eastAsia" w:ascii="仿宋_GB2312" w:hAnsi="仿宋_GB2312" w:eastAsia="仿宋_GB2312" w:cs="仿宋_GB2312"/>
          <w:bCs/>
          <w:sz w:val="32"/>
          <w:szCs w:val="32"/>
          <w:highlight w:val="none"/>
        </w:rPr>
        <w:t>，由陕西华采招标有限公司组织</w:t>
      </w:r>
      <w:r>
        <w:rPr>
          <w:rFonts w:hint="eastAsia" w:ascii="仿宋_GB2312" w:hAnsi="仿宋_GB2312" w:eastAsia="仿宋_GB2312" w:cs="仿宋_GB2312"/>
          <w:bCs/>
          <w:sz w:val="32"/>
          <w:szCs w:val="32"/>
          <w:highlight w:val="none"/>
          <w:lang w:val="en-US" w:eastAsia="zh-CN"/>
        </w:rPr>
        <w:t>采购活动</w:t>
      </w:r>
      <w:r>
        <w:rPr>
          <w:rFonts w:hint="eastAsia" w:ascii="仿宋_GB2312" w:hAnsi="仿宋_GB2312" w:eastAsia="仿宋_GB2312" w:cs="仿宋_GB2312"/>
          <w:bCs/>
          <w:sz w:val="32"/>
          <w:szCs w:val="32"/>
          <w:highlight w:val="none"/>
        </w:rPr>
        <w:t>，</w:t>
      </w:r>
      <w:r>
        <w:rPr>
          <w:rFonts w:hint="eastAsia" w:ascii="仿宋_GB2312" w:hAnsi="仿宋_GB2312" w:eastAsia="仿宋_GB2312" w:cs="仿宋_GB2312"/>
          <w:bCs/>
          <w:sz w:val="32"/>
          <w:szCs w:val="32"/>
          <w:highlight w:val="none"/>
          <w:u w:val="single"/>
          <w:lang w:val="en-US" w:eastAsia="zh-CN"/>
        </w:rPr>
        <w:t xml:space="preserve">   </w:t>
      </w:r>
      <w:r>
        <w:rPr>
          <w:rFonts w:hint="eastAsia" w:ascii="仿宋_GB2312" w:hAnsi="仿宋_GB2312" w:eastAsia="仿宋_GB2312" w:cs="仿宋_GB2312"/>
          <w:bCs/>
          <w:sz w:val="32"/>
          <w:szCs w:val="32"/>
          <w:highlight w:val="none"/>
          <w:u w:val="single"/>
        </w:rPr>
        <w:t xml:space="preserve"> </w:t>
      </w:r>
    </w:p>
    <w:p w14:paraId="515C1071">
      <w:pPr>
        <w:keepNext w:val="0"/>
        <w:keepLines w:val="0"/>
        <w:pageBreakBefore w:val="0"/>
        <w:kinsoku/>
        <w:wordWrap/>
        <w:overflowPunct/>
        <w:topLinePunct w:val="0"/>
        <w:autoSpaceDE w:val="0"/>
        <w:autoSpaceDN w:val="0"/>
        <w:bidi w:val="0"/>
        <w:adjustRightInd w:val="0"/>
        <w:snapToGrid w:val="0"/>
        <w:spacing w:line="360" w:lineRule="auto"/>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u w:val="single"/>
        </w:rPr>
        <w:t xml:space="preserve"> </w:t>
      </w:r>
      <w:r>
        <w:rPr>
          <w:rFonts w:hint="eastAsia" w:ascii="仿宋_GB2312" w:hAnsi="仿宋_GB2312" w:eastAsia="仿宋_GB2312" w:cs="仿宋_GB2312"/>
          <w:bCs/>
          <w:sz w:val="32"/>
          <w:szCs w:val="32"/>
          <w:highlight w:val="none"/>
          <w:u w:val="single"/>
          <w:lang w:val="en-US" w:eastAsia="zh-CN"/>
        </w:rPr>
        <w:t xml:space="preserve">  </w:t>
      </w:r>
      <w:r>
        <w:rPr>
          <w:rFonts w:hint="eastAsia" w:ascii="仿宋_GB2312" w:hAnsi="仿宋_GB2312" w:eastAsia="仿宋_GB2312" w:cs="仿宋_GB2312"/>
          <w:bCs/>
          <w:sz w:val="32"/>
          <w:szCs w:val="32"/>
          <w:highlight w:val="none"/>
          <w:u w:val="single"/>
        </w:rPr>
        <w:t xml:space="preserve">  </w:t>
      </w:r>
      <w:r>
        <w:rPr>
          <w:rFonts w:hint="eastAsia" w:ascii="仿宋_GB2312" w:hAnsi="仿宋_GB2312" w:eastAsia="仿宋_GB2312" w:cs="仿宋_GB2312"/>
          <w:bCs/>
          <w:sz w:val="32"/>
          <w:szCs w:val="32"/>
          <w:highlight w:val="none"/>
        </w:rPr>
        <w:t>(以下简称“甲方”)确定</w:t>
      </w:r>
      <w:r>
        <w:rPr>
          <w:rFonts w:hint="eastAsia" w:ascii="仿宋_GB2312" w:hAnsi="仿宋_GB2312" w:eastAsia="仿宋_GB2312" w:cs="仿宋_GB2312"/>
          <w:bCs/>
          <w:sz w:val="32"/>
          <w:szCs w:val="32"/>
          <w:highlight w:val="none"/>
          <w:u w:val="single"/>
        </w:rPr>
        <w:t xml:space="preserve">    </w:t>
      </w:r>
      <w:r>
        <w:rPr>
          <w:rFonts w:hint="eastAsia" w:ascii="仿宋_GB2312" w:hAnsi="仿宋_GB2312" w:eastAsia="仿宋_GB2312" w:cs="仿宋_GB2312"/>
          <w:bCs/>
          <w:sz w:val="32"/>
          <w:szCs w:val="32"/>
          <w:highlight w:val="none"/>
        </w:rPr>
        <w:t>（以下简称“乙方”）为该项目的成交供应商。</w:t>
      </w:r>
    </w:p>
    <w:p w14:paraId="634DE3AD">
      <w:pPr>
        <w:keepNext w:val="0"/>
        <w:keepLines w:val="0"/>
        <w:pageBreakBefore w:val="0"/>
        <w:kinsoku/>
        <w:wordWrap/>
        <w:overflowPunct/>
        <w:topLinePunct w:val="0"/>
        <w:autoSpaceDE w:val="0"/>
        <w:autoSpaceDN w:val="0"/>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依据《中华人民共和国民法典》和《中华人民共和国政府采购法》之规定，经双方在平等、自愿、互利的基础上，签订本合同，共同信守。</w:t>
      </w:r>
    </w:p>
    <w:p w14:paraId="73904E24">
      <w:pPr>
        <w:keepNext w:val="0"/>
        <w:keepLines w:val="0"/>
        <w:pageBreakBefore w:val="0"/>
        <w:widowControl w:val="0"/>
        <w:kinsoku/>
        <w:wordWrap/>
        <w:overflowPunct/>
        <w:topLinePunct w:val="0"/>
        <w:bidi w:val="0"/>
        <w:adjustRightInd w:val="0"/>
        <w:snapToGrid w:val="0"/>
        <w:spacing w:line="360" w:lineRule="auto"/>
        <w:ind w:firstLine="643" w:firstLineChars="200"/>
        <w:textAlignment w:val="auto"/>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rPr>
        <w:t>一、委托工作内容</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bCs/>
          <w:sz w:val="32"/>
          <w:szCs w:val="32"/>
          <w:highlight w:val="none"/>
          <w:u w:val="single"/>
          <w:lang w:bidi="ar"/>
        </w:rPr>
        <w:t xml:space="preserve">      </w:t>
      </w:r>
      <w:r>
        <w:rPr>
          <w:rFonts w:hint="eastAsia" w:ascii="仿宋_GB2312" w:hAnsi="仿宋_GB2312" w:eastAsia="仿宋_GB2312" w:cs="仿宋_GB2312"/>
          <w:bCs/>
          <w:sz w:val="32"/>
          <w:szCs w:val="32"/>
          <w:highlight w:val="none"/>
          <w:u w:val="single"/>
          <w:lang w:val="en-US" w:eastAsia="zh-CN" w:bidi="ar"/>
        </w:rPr>
        <w:t xml:space="preserve">          </w:t>
      </w:r>
      <w:r>
        <w:rPr>
          <w:rFonts w:hint="eastAsia" w:ascii="仿宋_GB2312" w:hAnsi="仿宋_GB2312" w:eastAsia="仿宋_GB2312" w:cs="仿宋_GB2312"/>
          <w:bCs/>
          <w:sz w:val="32"/>
          <w:szCs w:val="32"/>
          <w:highlight w:val="none"/>
          <w:u w:val="single"/>
          <w:lang w:bidi="ar"/>
        </w:rPr>
        <w:t xml:space="preserve">       </w:t>
      </w:r>
      <w:r>
        <w:rPr>
          <w:rFonts w:hint="eastAsia" w:ascii="仿宋_GB2312" w:hAnsi="仿宋_GB2312" w:eastAsia="仿宋_GB2312" w:cs="仿宋_GB2312"/>
          <w:bCs/>
          <w:sz w:val="32"/>
          <w:szCs w:val="32"/>
          <w:highlight w:val="none"/>
          <w:lang w:bidi="ar"/>
        </w:rPr>
        <w:t>。</w:t>
      </w:r>
    </w:p>
    <w:p w14:paraId="6FE4CF36">
      <w:pPr>
        <w:keepNext w:val="0"/>
        <w:keepLines w:val="0"/>
        <w:pageBreakBefore w:val="0"/>
        <w:widowControl w:val="0"/>
        <w:kinsoku/>
        <w:wordWrap/>
        <w:overflowPunct/>
        <w:topLinePunct w:val="0"/>
        <w:autoSpaceDE w:val="0"/>
        <w:autoSpaceDN w:val="0"/>
        <w:bidi w:val="0"/>
        <w:adjustRightInd w:val="0"/>
        <w:snapToGrid w:val="0"/>
        <w:spacing w:line="360" w:lineRule="auto"/>
        <w:ind w:firstLine="643" w:firstLineChars="20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二、合同价款</w:t>
      </w:r>
    </w:p>
    <w:p w14:paraId="1BF8D152">
      <w:pPr>
        <w:keepNext w:val="0"/>
        <w:keepLines w:val="0"/>
        <w:pageBreakBefore w:val="0"/>
        <w:widowControl w:val="0"/>
        <w:kinsoku/>
        <w:wordWrap/>
        <w:overflowPunct/>
        <w:topLinePunct w:val="0"/>
        <w:autoSpaceDE w:val="0"/>
        <w:autoSpaceDN w:val="0"/>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highlight w:val="none"/>
          <w:lang w:eastAsia="zh-CN"/>
        </w:rPr>
      </w:pPr>
      <w:r>
        <w:rPr>
          <w:rFonts w:hint="eastAsia" w:ascii="仿宋_GB2312" w:hAnsi="仿宋_GB2312" w:eastAsia="仿宋_GB2312" w:cs="仿宋_GB2312"/>
          <w:bCs/>
          <w:sz w:val="32"/>
          <w:szCs w:val="32"/>
          <w:highlight w:val="none"/>
        </w:rPr>
        <w:t>（一）合同</w:t>
      </w:r>
      <w:r>
        <w:rPr>
          <w:rFonts w:hint="eastAsia" w:ascii="仿宋_GB2312" w:hAnsi="仿宋_GB2312" w:eastAsia="仿宋_GB2312" w:cs="仿宋_GB2312"/>
          <w:bCs/>
          <w:sz w:val="32"/>
          <w:szCs w:val="32"/>
          <w:highlight w:val="none"/>
          <w:lang w:val="en-US" w:eastAsia="zh-CN"/>
        </w:rPr>
        <w:t>暂定金额（成交暂定金额）</w:t>
      </w:r>
      <w:r>
        <w:rPr>
          <w:rFonts w:hint="eastAsia" w:ascii="仿宋_GB2312" w:hAnsi="仿宋_GB2312" w:eastAsia="仿宋_GB2312" w:cs="仿宋_GB2312"/>
          <w:bCs/>
          <w:sz w:val="32"/>
          <w:szCs w:val="32"/>
          <w:highlight w:val="none"/>
        </w:rPr>
        <w:t>为人民币（大写）</w:t>
      </w:r>
      <w:r>
        <w:rPr>
          <w:rFonts w:hint="eastAsia" w:ascii="仿宋_GB2312" w:hAnsi="仿宋_GB2312" w:eastAsia="仿宋_GB2312" w:cs="仿宋_GB2312"/>
          <w:bCs/>
          <w:sz w:val="32"/>
          <w:szCs w:val="32"/>
          <w:highlight w:val="none"/>
          <w:u w:val="single"/>
        </w:rPr>
        <w:t xml:space="preserve">      </w:t>
      </w:r>
      <w:r>
        <w:rPr>
          <w:rFonts w:hint="eastAsia" w:ascii="仿宋_GB2312" w:hAnsi="仿宋_GB2312" w:eastAsia="仿宋_GB2312" w:cs="仿宋_GB2312"/>
          <w:bCs/>
          <w:sz w:val="32"/>
          <w:szCs w:val="32"/>
          <w:highlight w:val="none"/>
        </w:rPr>
        <w:t>（¥</w:t>
      </w:r>
      <w:r>
        <w:rPr>
          <w:rFonts w:hint="eastAsia" w:ascii="仿宋_GB2312" w:hAnsi="仿宋_GB2312" w:eastAsia="仿宋_GB2312" w:cs="仿宋_GB2312"/>
          <w:bCs/>
          <w:sz w:val="32"/>
          <w:szCs w:val="32"/>
          <w:highlight w:val="none"/>
          <w:u w:val="single"/>
        </w:rPr>
        <w:t xml:space="preserve">     </w:t>
      </w:r>
      <w:r>
        <w:rPr>
          <w:rFonts w:hint="eastAsia" w:ascii="仿宋_GB2312" w:hAnsi="仿宋_GB2312" w:eastAsia="仿宋_GB2312" w:cs="仿宋_GB2312"/>
          <w:bCs/>
          <w:sz w:val="32"/>
          <w:szCs w:val="32"/>
          <w:highlight w:val="none"/>
        </w:rPr>
        <w:t xml:space="preserve"> ）。</w:t>
      </w:r>
      <w:r>
        <w:rPr>
          <w:rFonts w:hint="eastAsia" w:ascii="仿宋_GB2312" w:hAnsi="仿宋_GB2312" w:eastAsia="仿宋_GB2312" w:cs="仿宋_GB2312"/>
          <w:bCs/>
          <w:sz w:val="32"/>
          <w:szCs w:val="32"/>
          <w:highlight w:val="none"/>
          <w:lang w:val="en-US" w:eastAsia="zh-CN"/>
        </w:rPr>
        <w:t>（注：合同执行过程中根据实际发生的工作量据实结算，最终结算价款不超过合同暂定金额）</w:t>
      </w:r>
    </w:p>
    <w:p w14:paraId="5398048B">
      <w:pPr>
        <w:keepNext w:val="0"/>
        <w:keepLines w:val="0"/>
        <w:pageBreakBefore w:val="0"/>
        <w:widowControl w:val="0"/>
        <w:kinsoku/>
        <w:wordWrap/>
        <w:overflowPunct/>
        <w:topLinePunct w:val="0"/>
        <w:autoSpaceDE w:val="0"/>
        <w:autoSpaceDN w:val="0"/>
        <w:bidi w:val="0"/>
        <w:adjustRightInd w:val="0"/>
        <w:snapToGrid w:val="0"/>
        <w:spacing w:line="360" w:lineRule="auto"/>
        <w:ind w:firstLine="640" w:firstLineChars="200"/>
        <w:textAlignment w:val="auto"/>
        <w:rPr>
          <w:rFonts w:hint="eastAsia" w:ascii="仿宋_GB2312" w:hAnsi="仿宋_GB2312" w:eastAsia="仿宋_GB2312" w:cs="仿宋_GB2312"/>
          <w:sz w:val="32"/>
          <w:szCs w:val="32"/>
          <w:highlight w:val="none"/>
          <w:lang w:val="zh-CN"/>
        </w:rPr>
      </w:pPr>
      <w:r>
        <w:rPr>
          <w:rFonts w:hint="eastAsia" w:ascii="仿宋_GB2312" w:hAnsi="仿宋_GB2312" w:eastAsia="仿宋_GB2312" w:cs="仿宋_GB2312"/>
          <w:bCs/>
          <w:sz w:val="32"/>
          <w:szCs w:val="32"/>
          <w:highlight w:val="none"/>
        </w:rPr>
        <w:t>（二）合同价款</w:t>
      </w:r>
      <w:r>
        <w:rPr>
          <w:rFonts w:hint="eastAsia" w:ascii="仿宋_GB2312" w:hAnsi="仿宋_GB2312" w:eastAsia="仿宋_GB2312" w:cs="仿宋_GB2312"/>
          <w:sz w:val="32"/>
          <w:szCs w:val="32"/>
          <w:highlight w:val="none"/>
          <w:lang w:val="zh-CN"/>
        </w:rPr>
        <w:t>包括但不限于直接费、间接费、利润、人工费、设备费、管理费等以及国家按现行税率征收的一切税费。项目实施过程中</w:t>
      </w:r>
      <w:r>
        <w:rPr>
          <w:rFonts w:hint="eastAsia" w:ascii="仿宋_GB2312" w:hAnsi="仿宋_GB2312" w:eastAsia="仿宋_GB2312" w:cs="仿宋_GB2312"/>
          <w:sz w:val="32"/>
          <w:szCs w:val="32"/>
          <w:highlight w:val="none"/>
          <w:lang w:val="en-US" w:eastAsia="zh-CN"/>
        </w:rPr>
        <w:t>甲方</w:t>
      </w:r>
      <w:r>
        <w:rPr>
          <w:rFonts w:hint="eastAsia" w:ascii="仿宋_GB2312" w:hAnsi="仿宋_GB2312" w:eastAsia="仿宋_GB2312" w:cs="仿宋_GB2312"/>
          <w:sz w:val="32"/>
          <w:szCs w:val="32"/>
          <w:highlight w:val="none"/>
          <w:lang w:val="zh-CN"/>
        </w:rPr>
        <w:t>不再增加任何费用。</w:t>
      </w:r>
    </w:p>
    <w:p w14:paraId="5779E6BF">
      <w:pPr>
        <w:keepNext w:val="0"/>
        <w:keepLines w:val="0"/>
        <w:pageBreakBefore w:val="0"/>
        <w:kinsoku/>
        <w:wordWrap/>
        <w:overflowPunct/>
        <w:topLinePunct w:val="0"/>
        <w:autoSpaceDE w:val="0"/>
        <w:autoSpaceDN w:val="0"/>
        <w:bidi w:val="0"/>
        <w:adjustRightInd w:val="0"/>
        <w:snapToGrid w:val="0"/>
        <w:spacing w:line="360" w:lineRule="auto"/>
        <w:ind w:firstLine="643" w:firstLineChars="200"/>
        <w:textAlignment w:val="auto"/>
        <w:rPr>
          <w:rFonts w:hint="eastAsia" w:ascii="仿宋_GB2312" w:hAnsi="仿宋_GB2312" w:eastAsia="仿宋_GB2312" w:cs="仿宋_GB2312"/>
          <w:b/>
          <w:bCs w:val="0"/>
          <w:sz w:val="32"/>
          <w:szCs w:val="32"/>
          <w:highlight w:val="none"/>
        </w:rPr>
      </w:pPr>
      <w:r>
        <w:rPr>
          <w:rFonts w:hint="eastAsia" w:ascii="仿宋_GB2312" w:hAnsi="仿宋_GB2312" w:eastAsia="仿宋_GB2312" w:cs="仿宋_GB2312"/>
          <w:b/>
          <w:bCs w:val="0"/>
          <w:sz w:val="32"/>
          <w:szCs w:val="32"/>
          <w:highlight w:val="none"/>
        </w:rPr>
        <w:t>三、款项结算</w:t>
      </w:r>
    </w:p>
    <w:p w14:paraId="32FB0251">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（一）自本合同履行服务五个月后，支付合同总价款的40%；合同期满经考核</w:t>
      </w:r>
      <w:r>
        <w:rPr>
          <w:rFonts w:hint="eastAsia" w:ascii="仿宋_GB2312" w:hAnsi="仿宋_GB2312" w:eastAsia="仿宋_GB2312" w:cs="仿宋_GB2312"/>
          <w:bCs/>
          <w:sz w:val="32"/>
          <w:szCs w:val="32"/>
          <w:highlight w:val="none"/>
          <w:lang w:eastAsia="zh-CN"/>
        </w:rPr>
        <w:t>验收</w:t>
      </w:r>
      <w:r>
        <w:rPr>
          <w:rFonts w:hint="eastAsia" w:ascii="仿宋_GB2312" w:hAnsi="仿宋_GB2312" w:eastAsia="仿宋_GB2312" w:cs="仿宋_GB2312"/>
          <w:bCs/>
          <w:sz w:val="32"/>
          <w:szCs w:val="32"/>
          <w:highlight w:val="none"/>
        </w:rPr>
        <w:t>合格后，</w:t>
      </w:r>
      <w:r>
        <w:rPr>
          <w:rFonts w:hint="eastAsia" w:ascii="仿宋_GB2312" w:hAnsi="仿宋_GB2312" w:eastAsia="仿宋_GB2312" w:cs="仿宋_GB2312"/>
          <w:bCs/>
          <w:sz w:val="32"/>
          <w:szCs w:val="32"/>
          <w:highlight w:val="none"/>
          <w:lang w:eastAsia="zh-CN"/>
        </w:rPr>
        <w:t>根据实际工作情况支付剩余款项</w:t>
      </w:r>
      <w:r>
        <w:rPr>
          <w:rFonts w:hint="eastAsia" w:ascii="仿宋_GB2312" w:hAnsi="仿宋_GB2312" w:eastAsia="仿宋_GB2312" w:cs="仿宋_GB2312"/>
          <w:bCs/>
          <w:sz w:val="32"/>
          <w:szCs w:val="32"/>
          <w:highlight w:val="none"/>
        </w:rPr>
        <w:t>。</w:t>
      </w:r>
    </w:p>
    <w:p w14:paraId="7B7DAB76">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（二）支付方式：银行转账。</w:t>
      </w:r>
    </w:p>
    <w:p w14:paraId="4D47AF21">
      <w:pPr>
        <w:keepNext w:val="0"/>
        <w:keepLines w:val="0"/>
        <w:pageBreakBefore w:val="0"/>
        <w:kinsoku/>
        <w:wordWrap/>
        <w:overflowPunct/>
        <w:topLinePunct w:val="0"/>
        <w:autoSpaceDE w:val="0"/>
        <w:autoSpaceDN w:val="0"/>
        <w:bidi w:val="0"/>
        <w:adjustRightInd w:val="0"/>
        <w:snapToGrid w:val="0"/>
        <w:spacing w:line="360" w:lineRule="auto"/>
        <w:ind w:firstLine="643" w:firstLineChars="200"/>
        <w:textAlignment w:val="auto"/>
        <w:rPr>
          <w:rFonts w:hint="eastAsia" w:ascii="仿宋_GB2312" w:hAnsi="仿宋_GB2312" w:eastAsia="仿宋_GB2312" w:cs="仿宋_GB2312"/>
          <w:b/>
          <w:bCs w:val="0"/>
          <w:sz w:val="32"/>
          <w:szCs w:val="32"/>
          <w:highlight w:val="none"/>
          <w:lang w:val="en-US" w:eastAsia="zh-CN"/>
        </w:rPr>
      </w:pPr>
      <w:r>
        <w:rPr>
          <w:rFonts w:hint="eastAsia" w:ascii="仿宋_GB2312" w:hAnsi="仿宋_GB2312" w:eastAsia="仿宋_GB2312" w:cs="仿宋_GB2312"/>
          <w:b/>
          <w:bCs w:val="0"/>
          <w:sz w:val="32"/>
          <w:szCs w:val="32"/>
          <w:highlight w:val="none"/>
        </w:rPr>
        <w:t>四、</w:t>
      </w:r>
      <w:r>
        <w:rPr>
          <w:rFonts w:hint="eastAsia" w:ascii="仿宋_GB2312" w:hAnsi="仿宋_GB2312" w:eastAsia="仿宋_GB2312" w:cs="仿宋_GB2312"/>
          <w:b/>
          <w:bCs w:val="0"/>
          <w:sz w:val="32"/>
          <w:szCs w:val="32"/>
          <w:highlight w:val="none"/>
          <w:lang w:val="en-US" w:eastAsia="zh-CN"/>
        </w:rPr>
        <w:t>服务期限及服务地点</w:t>
      </w:r>
    </w:p>
    <w:p w14:paraId="43026A70">
      <w:pPr>
        <w:keepNext w:val="0"/>
        <w:keepLines w:val="0"/>
        <w:pageBreakBefore w:val="0"/>
        <w:kinsoku/>
        <w:wordWrap/>
        <w:overflowPunct/>
        <w:topLinePunct w:val="0"/>
        <w:autoSpaceDE w:val="0"/>
        <w:autoSpaceDN w:val="0"/>
        <w:bidi w:val="0"/>
        <w:adjustRightInd w:val="0"/>
        <w:snapToGrid w:val="0"/>
        <w:spacing w:line="360" w:lineRule="auto"/>
        <w:ind w:firstLine="640" w:firstLineChars="200"/>
        <w:textAlignment w:val="auto"/>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（一）服务期限：</w:t>
      </w:r>
      <w:r>
        <w:rPr>
          <w:rFonts w:hint="eastAsia" w:ascii="仿宋_GB2312" w:hAnsi="仿宋_GB2312" w:eastAsia="仿宋_GB2312" w:cs="仿宋_GB2312"/>
          <w:b w:val="0"/>
          <w:bCs w:val="0"/>
          <w:sz w:val="32"/>
          <w:szCs w:val="32"/>
          <w:highlight w:val="none"/>
          <w:lang w:eastAsia="zh-CN"/>
        </w:rPr>
        <w:t>自合同签订之日起一年。</w:t>
      </w:r>
    </w:p>
    <w:p w14:paraId="2F1B11F8">
      <w:pPr>
        <w:keepNext w:val="0"/>
        <w:keepLines w:val="0"/>
        <w:pageBreakBefore w:val="0"/>
        <w:kinsoku/>
        <w:wordWrap/>
        <w:overflowPunct/>
        <w:topLinePunct w:val="0"/>
        <w:autoSpaceDE w:val="0"/>
        <w:autoSpaceDN w:val="0"/>
        <w:bidi w:val="0"/>
        <w:adjustRightInd w:val="0"/>
        <w:snapToGrid w:val="0"/>
        <w:spacing w:line="360" w:lineRule="auto"/>
        <w:ind w:firstLine="640" w:firstLineChars="200"/>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（二）服务地点：西安市高新区辖区范围内，具体以甲方要求为准。</w:t>
      </w:r>
    </w:p>
    <w:p w14:paraId="3DF6DF28">
      <w:pPr>
        <w:keepNext w:val="0"/>
        <w:keepLines w:val="0"/>
        <w:pageBreakBefore w:val="0"/>
        <w:kinsoku/>
        <w:wordWrap/>
        <w:overflowPunct/>
        <w:topLinePunct w:val="0"/>
        <w:autoSpaceDE w:val="0"/>
        <w:autoSpaceDN w:val="0"/>
        <w:bidi w:val="0"/>
        <w:adjustRightInd w:val="0"/>
        <w:snapToGrid w:val="0"/>
        <w:spacing w:line="360" w:lineRule="auto"/>
        <w:ind w:firstLine="643" w:firstLineChars="20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五、</w:t>
      </w:r>
      <w:r>
        <w:rPr>
          <w:rFonts w:hint="eastAsia" w:ascii="仿宋_GB2312" w:hAnsi="仿宋_GB2312" w:eastAsia="仿宋_GB2312" w:cs="仿宋_GB2312"/>
          <w:b/>
          <w:bCs/>
          <w:sz w:val="32"/>
          <w:szCs w:val="32"/>
          <w:highlight w:val="none"/>
          <w:lang w:val="en-US" w:eastAsia="zh-CN"/>
        </w:rPr>
        <w:t>双</w:t>
      </w:r>
      <w:r>
        <w:rPr>
          <w:rFonts w:hint="eastAsia" w:ascii="仿宋_GB2312" w:hAnsi="仿宋_GB2312" w:eastAsia="仿宋_GB2312" w:cs="仿宋_GB2312"/>
          <w:b/>
          <w:bCs/>
          <w:sz w:val="32"/>
          <w:szCs w:val="32"/>
          <w:highlight w:val="none"/>
        </w:rPr>
        <w:t>方的权利及义务</w:t>
      </w:r>
    </w:p>
    <w:p w14:paraId="2E8EEF9B">
      <w:pPr>
        <w:keepNext w:val="0"/>
        <w:keepLines w:val="0"/>
        <w:pageBreakBefore w:val="0"/>
        <w:kinsoku/>
        <w:wordWrap/>
        <w:overflowPunct/>
        <w:topLinePunct w:val="0"/>
        <w:autoSpaceDE w:val="0"/>
        <w:autoSpaceDN w:val="0"/>
        <w:bidi w:val="0"/>
        <w:adjustRightInd w:val="0"/>
        <w:snapToGrid w:val="0"/>
        <w:spacing w:line="360" w:lineRule="auto"/>
        <w:ind w:firstLine="640" w:firstLineChars="200"/>
        <w:textAlignment w:val="auto"/>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一</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甲</w:t>
      </w:r>
      <w:r>
        <w:rPr>
          <w:rFonts w:hint="eastAsia" w:ascii="仿宋_GB2312" w:hAnsi="仿宋_GB2312" w:eastAsia="仿宋_GB2312" w:cs="仿宋_GB2312"/>
          <w:b w:val="0"/>
          <w:bCs w:val="0"/>
          <w:sz w:val="32"/>
          <w:szCs w:val="32"/>
          <w:highlight w:val="none"/>
        </w:rPr>
        <w:t>方的权利及义务</w:t>
      </w:r>
    </w:p>
    <w:p w14:paraId="0BF864CC">
      <w:pPr>
        <w:autoSpaceDE w:val="0"/>
        <w:autoSpaceDN w:val="0"/>
        <w:adjustRightInd w:val="0"/>
        <w:snapToGrid w:val="0"/>
        <w:spacing w:line="360" w:lineRule="auto"/>
        <w:ind w:firstLine="640" w:firstLineChars="200"/>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1</w:t>
      </w:r>
      <w:r>
        <w:rPr>
          <w:rFonts w:hint="eastAsia" w:ascii="仿宋_GB2312" w:hAnsi="仿宋_GB2312" w:eastAsia="仿宋_GB2312" w:cs="仿宋_GB2312"/>
          <w:b w:val="0"/>
          <w:bCs w:val="0"/>
          <w:sz w:val="32"/>
          <w:szCs w:val="32"/>
          <w:highlight w:val="none"/>
          <w:lang w:val="en-US" w:eastAsia="zh-CN"/>
        </w:rPr>
        <w:t>.</w:t>
      </w:r>
      <w:r>
        <w:rPr>
          <w:rFonts w:hint="eastAsia" w:ascii="仿宋_GB2312" w:hAnsi="仿宋_GB2312" w:eastAsia="仿宋_GB2312" w:cs="仿宋_GB2312"/>
          <w:b w:val="0"/>
          <w:bCs w:val="0"/>
          <w:sz w:val="32"/>
          <w:szCs w:val="32"/>
          <w:highlight w:val="none"/>
        </w:rPr>
        <w:t>甲方负责配合本次项目服务工作。</w:t>
      </w:r>
    </w:p>
    <w:p w14:paraId="55B8021A">
      <w:pPr>
        <w:autoSpaceDE w:val="0"/>
        <w:autoSpaceDN w:val="0"/>
        <w:adjustRightInd w:val="0"/>
        <w:snapToGrid w:val="0"/>
        <w:spacing w:line="360" w:lineRule="auto"/>
        <w:ind w:firstLine="640" w:firstLineChars="200"/>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2</w:t>
      </w:r>
      <w:r>
        <w:rPr>
          <w:rFonts w:hint="eastAsia" w:ascii="仿宋_GB2312" w:hAnsi="仿宋_GB2312" w:eastAsia="仿宋_GB2312" w:cs="仿宋_GB2312"/>
          <w:b w:val="0"/>
          <w:bCs w:val="0"/>
          <w:sz w:val="32"/>
          <w:szCs w:val="32"/>
          <w:highlight w:val="none"/>
          <w:lang w:val="en-US" w:eastAsia="zh-CN"/>
        </w:rPr>
        <w:t>.</w:t>
      </w:r>
      <w:r>
        <w:rPr>
          <w:rFonts w:hint="eastAsia" w:ascii="仿宋_GB2312" w:hAnsi="仿宋_GB2312" w:eastAsia="仿宋_GB2312" w:cs="仿宋_GB2312"/>
          <w:b w:val="0"/>
          <w:bCs w:val="0"/>
          <w:sz w:val="32"/>
          <w:szCs w:val="32"/>
          <w:highlight w:val="none"/>
        </w:rPr>
        <w:t>甲方应按本合同的约定向乙方支付合同价款。</w:t>
      </w:r>
    </w:p>
    <w:p w14:paraId="288B01F0">
      <w:pPr>
        <w:autoSpaceDE w:val="0"/>
        <w:autoSpaceDN w:val="0"/>
        <w:adjustRightInd w:val="0"/>
        <w:snapToGrid w:val="0"/>
        <w:spacing w:line="360" w:lineRule="auto"/>
        <w:ind w:firstLine="640" w:firstLineChars="200"/>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3</w:t>
      </w:r>
      <w:r>
        <w:rPr>
          <w:rFonts w:hint="eastAsia" w:ascii="仿宋_GB2312" w:hAnsi="仿宋_GB2312" w:eastAsia="仿宋_GB2312" w:cs="仿宋_GB2312"/>
          <w:b w:val="0"/>
          <w:bCs w:val="0"/>
          <w:sz w:val="32"/>
          <w:szCs w:val="32"/>
          <w:highlight w:val="none"/>
          <w:lang w:val="en-US" w:eastAsia="zh-CN"/>
        </w:rPr>
        <w:t>.</w:t>
      </w:r>
      <w:r>
        <w:rPr>
          <w:rFonts w:hint="eastAsia" w:ascii="仿宋_GB2312" w:hAnsi="仿宋_GB2312" w:eastAsia="仿宋_GB2312" w:cs="仿宋_GB2312"/>
          <w:b w:val="0"/>
          <w:bCs w:val="0"/>
          <w:sz w:val="32"/>
          <w:szCs w:val="32"/>
          <w:highlight w:val="none"/>
        </w:rPr>
        <w:t>甲方根据需要对乙方提供的服务方案进行审核，提供建议及意见，确定最终实施的服务方案，以便乙方遵照执行。</w:t>
      </w:r>
    </w:p>
    <w:p w14:paraId="49A2EC7B">
      <w:pPr>
        <w:autoSpaceDE w:val="0"/>
        <w:autoSpaceDN w:val="0"/>
        <w:adjustRightInd w:val="0"/>
        <w:snapToGrid w:val="0"/>
        <w:spacing w:line="360" w:lineRule="auto"/>
        <w:ind w:firstLine="640" w:firstLineChars="200"/>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4</w:t>
      </w:r>
      <w:r>
        <w:rPr>
          <w:rFonts w:hint="eastAsia" w:ascii="仿宋_GB2312" w:hAnsi="仿宋_GB2312" w:eastAsia="仿宋_GB2312" w:cs="仿宋_GB2312"/>
          <w:b w:val="0"/>
          <w:bCs w:val="0"/>
          <w:sz w:val="32"/>
          <w:szCs w:val="32"/>
          <w:highlight w:val="none"/>
          <w:lang w:val="en-US" w:eastAsia="zh-CN"/>
        </w:rPr>
        <w:t>.</w:t>
      </w:r>
      <w:r>
        <w:rPr>
          <w:rFonts w:hint="eastAsia" w:ascii="仿宋_GB2312" w:hAnsi="仿宋_GB2312" w:eastAsia="仿宋_GB2312" w:cs="仿宋_GB2312"/>
          <w:b w:val="0"/>
          <w:bCs w:val="0"/>
          <w:sz w:val="32"/>
          <w:szCs w:val="32"/>
          <w:highlight w:val="none"/>
        </w:rPr>
        <w:t>甲方有权对乙方的工作进行监督和考核。</w:t>
      </w:r>
    </w:p>
    <w:p w14:paraId="57ECAE51">
      <w:pPr>
        <w:keepNext w:val="0"/>
        <w:keepLines w:val="0"/>
        <w:pageBreakBefore w:val="0"/>
        <w:widowControl w:val="0"/>
        <w:kinsoku/>
        <w:wordWrap/>
        <w:overflowPunct/>
        <w:topLinePunct w:val="0"/>
        <w:bidi w:val="0"/>
        <w:adjustRightInd w:val="0"/>
        <w:snapToGrid w:val="0"/>
        <w:spacing w:line="360" w:lineRule="auto"/>
        <w:ind w:right="0" w:rightChars="0" w:firstLine="640" w:firstLineChars="200"/>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val="en-US" w:eastAsia="zh-CN"/>
        </w:rPr>
        <w:t>（二）</w:t>
      </w:r>
      <w:r>
        <w:rPr>
          <w:rFonts w:hint="eastAsia" w:ascii="仿宋_GB2312" w:hAnsi="仿宋_GB2312" w:eastAsia="仿宋_GB2312" w:cs="仿宋_GB2312"/>
          <w:b w:val="0"/>
          <w:bCs w:val="0"/>
          <w:sz w:val="32"/>
          <w:szCs w:val="32"/>
          <w:highlight w:val="none"/>
        </w:rPr>
        <w:t>乙方的权利及义务</w:t>
      </w:r>
    </w:p>
    <w:p w14:paraId="110D42B7">
      <w:pPr>
        <w:autoSpaceDE w:val="0"/>
        <w:autoSpaceDN w:val="0"/>
        <w:adjustRightInd w:val="0"/>
        <w:snapToGrid w:val="0"/>
        <w:spacing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乙方的工作人员必须严格遵守甲方的规章制度，以良好的形象和积极的工作态度，按甲方要求开展工作。</w:t>
      </w:r>
    </w:p>
    <w:p w14:paraId="7C463A52">
      <w:pPr>
        <w:autoSpaceDE w:val="0"/>
        <w:autoSpaceDN w:val="0"/>
        <w:adjustRightInd w:val="0"/>
        <w:snapToGrid w:val="0"/>
        <w:spacing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乙方应服从甲方统筹管理并按流程开展工作。</w:t>
      </w:r>
    </w:p>
    <w:p w14:paraId="1668252A">
      <w:pPr>
        <w:autoSpaceDE w:val="0"/>
        <w:autoSpaceDN w:val="0"/>
        <w:adjustRightInd w:val="0"/>
        <w:snapToGrid w:val="0"/>
        <w:spacing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乙方保证安排的相关人员需按照指定时间到达指定地点进行服务，乙方在服务期间内不得迟到早退，如有特殊情况，必须事先通知并征得甲方同意。</w:t>
      </w:r>
    </w:p>
    <w:p w14:paraId="3EE01426">
      <w:pPr>
        <w:autoSpaceDE w:val="0"/>
        <w:autoSpaceDN w:val="0"/>
        <w:adjustRightInd w:val="0"/>
        <w:snapToGrid w:val="0"/>
        <w:spacing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乙方在服务期间发布的任何涉及有关甲方的相关信息，需经甲方确认无误后方可发布。</w:t>
      </w:r>
    </w:p>
    <w:p w14:paraId="364012D1">
      <w:pPr>
        <w:autoSpaceDE w:val="0"/>
        <w:autoSpaceDN w:val="0"/>
        <w:adjustRightInd w:val="0"/>
        <w:snapToGrid w:val="0"/>
        <w:spacing w:line="360" w:lineRule="auto"/>
        <w:ind w:firstLine="643" w:firstLineChars="200"/>
        <w:rPr>
          <w:rFonts w:hint="eastAsia" w:ascii="仿宋_GB2312" w:hAnsi="仿宋_GB2312" w:eastAsia="仿宋_GB2312" w:cs="仿宋_GB2312"/>
          <w:b/>
          <w:sz w:val="32"/>
          <w:szCs w:val="32"/>
          <w:highlight w:val="none"/>
        </w:rPr>
      </w:pPr>
      <w:r>
        <w:rPr>
          <w:rFonts w:hint="eastAsia" w:ascii="仿宋_GB2312" w:hAnsi="仿宋_GB2312" w:eastAsia="仿宋_GB2312" w:cs="仿宋_GB2312"/>
          <w:b/>
          <w:bCs/>
          <w:sz w:val="32"/>
          <w:szCs w:val="32"/>
          <w:highlight w:val="none"/>
          <w:lang w:val="en-US" w:eastAsia="zh-CN"/>
        </w:rPr>
        <w:t>六</w:t>
      </w:r>
      <w:r>
        <w:rPr>
          <w:rFonts w:hint="eastAsia" w:ascii="仿宋_GB2312" w:hAnsi="仿宋_GB2312" w:eastAsia="仿宋_GB2312" w:cs="仿宋_GB2312"/>
          <w:b/>
          <w:bCs/>
          <w:sz w:val="32"/>
          <w:szCs w:val="32"/>
          <w:highlight w:val="none"/>
        </w:rPr>
        <w:t>、</w:t>
      </w:r>
      <w:r>
        <w:rPr>
          <w:rFonts w:hint="eastAsia" w:ascii="仿宋_GB2312" w:hAnsi="仿宋_GB2312" w:eastAsia="仿宋_GB2312" w:cs="仿宋_GB2312"/>
          <w:b/>
          <w:sz w:val="32"/>
          <w:szCs w:val="32"/>
          <w:highlight w:val="none"/>
        </w:rPr>
        <w:t>服务质量保证</w:t>
      </w:r>
    </w:p>
    <w:p w14:paraId="57EBD3CA">
      <w:pPr>
        <w:autoSpaceDE w:val="0"/>
        <w:autoSpaceDN w:val="0"/>
        <w:adjustRightInd w:val="0"/>
        <w:snapToGrid w:val="0"/>
        <w:spacing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（一）乙方需建立高效的</w:t>
      </w:r>
      <w:r>
        <w:rPr>
          <w:rFonts w:hint="eastAsia" w:ascii="仿宋_GB2312" w:hAnsi="仿宋_GB2312" w:eastAsia="仿宋_GB2312" w:cs="仿宋_GB2312"/>
          <w:sz w:val="32"/>
          <w:szCs w:val="32"/>
          <w:highlight w:val="none"/>
          <w:lang w:eastAsia="zh-CN"/>
        </w:rPr>
        <w:t>项目团队，并</w:t>
      </w:r>
      <w:r>
        <w:rPr>
          <w:rFonts w:hint="eastAsia" w:ascii="仿宋_GB2312" w:hAnsi="仿宋_GB2312" w:eastAsia="仿宋_GB2312" w:cs="仿宋_GB2312"/>
          <w:sz w:val="32"/>
          <w:szCs w:val="32"/>
          <w:highlight w:val="none"/>
        </w:rPr>
        <w:t>派一名项目</w:t>
      </w:r>
      <w:r>
        <w:rPr>
          <w:rFonts w:hint="eastAsia" w:ascii="仿宋_GB2312" w:hAnsi="仿宋_GB2312" w:eastAsia="仿宋_GB2312" w:cs="仿宋_GB2312"/>
          <w:sz w:val="32"/>
          <w:szCs w:val="32"/>
          <w:highlight w:val="none"/>
          <w:lang w:val="en-US" w:eastAsia="zh-CN"/>
        </w:rPr>
        <w:t>负责人</w:t>
      </w:r>
      <w:r>
        <w:rPr>
          <w:rFonts w:hint="eastAsia" w:ascii="仿宋_GB2312" w:hAnsi="仿宋_GB2312" w:eastAsia="仿宋_GB2312" w:cs="仿宋_GB2312"/>
          <w:sz w:val="32"/>
          <w:szCs w:val="32"/>
          <w:highlight w:val="none"/>
        </w:rPr>
        <w:t>，直接与甲方沟通，项目</w:t>
      </w:r>
      <w:r>
        <w:rPr>
          <w:rFonts w:hint="eastAsia" w:ascii="仿宋_GB2312" w:hAnsi="仿宋_GB2312" w:eastAsia="仿宋_GB2312" w:cs="仿宋_GB2312"/>
          <w:sz w:val="32"/>
          <w:szCs w:val="32"/>
          <w:highlight w:val="none"/>
          <w:lang w:val="en-US" w:eastAsia="zh-CN"/>
        </w:rPr>
        <w:t>负责人</w:t>
      </w:r>
      <w:r>
        <w:rPr>
          <w:rFonts w:hint="eastAsia" w:ascii="仿宋_GB2312" w:hAnsi="仿宋_GB2312" w:eastAsia="仿宋_GB2312" w:cs="仿宋_GB2312"/>
          <w:sz w:val="32"/>
          <w:szCs w:val="32"/>
          <w:highlight w:val="none"/>
        </w:rPr>
        <w:t>接收甲方提出的问题与要求，及时反馈给工作组，解决在项目实施过程中遇到的问题。</w:t>
      </w:r>
    </w:p>
    <w:p w14:paraId="29311E19">
      <w:pPr>
        <w:autoSpaceDE w:val="0"/>
        <w:autoSpaceDN w:val="0"/>
        <w:adjustRightInd w:val="0"/>
        <w:snapToGrid w:val="0"/>
        <w:spacing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（二）项目在实施过程中会出现不可预料的需求变更，乙方需积极配合甲方的需求变更，并按照变更后的需求继续进行方案实施</w:t>
      </w:r>
      <w:r>
        <w:rPr>
          <w:rFonts w:hint="eastAsia" w:ascii="仿宋_GB2312" w:hAnsi="仿宋_GB2312" w:eastAsia="仿宋_GB2312" w:cs="仿宋_GB2312"/>
          <w:sz w:val="32"/>
          <w:szCs w:val="32"/>
          <w:highlight w:val="none"/>
          <w:lang w:eastAsia="zh-CN"/>
        </w:rPr>
        <w:t>，并</w:t>
      </w:r>
      <w:r>
        <w:rPr>
          <w:rFonts w:hint="eastAsia" w:ascii="仿宋_GB2312" w:hAnsi="仿宋_GB2312" w:eastAsia="仿宋_GB2312" w:cs="仿宋_GB2312"/>
          <w:sz w:val="32"/>
          <w:szCs w:val="32"/>
          <w:highlight w:val="none"/>
        </w:rPr>
        <w:t>提交所有实施方案流程及</w:t>
      </w:r>
      <w:r>
        <w:rPr>
          <w:rFonts w:hint="eastAsia" w:ascii="仿宋_GB2312" w:hAnsi="仿宋_GB2312" w:eastAsia="仿宋_GB2312" w:cs="仿宋_GB2312"/>
          <w:sz w:val="32"/>
          <w:szCs w:val="32"/>
          <w:highlight w:val="none"/>
          <w:lang w:val="en-US" w:eastAsia="zh-CN"/>
        </w:rPr>
        <w:t>项目</w:t>
      </w:r>
      <w:r>
        <w:rPr>
          <w:rFonts w:hint="eastAsia" w:ascii="仿宋_GB2312" w:hAnsi="仿宋_GB2312" w:eastAsia="仿宋_GB2312" w:cs="仿宋_GB2312"/>
          <w:sz w:val="32"/>
          <w:szCs w:val="32"/>
          <w:highlight w:val="none"/>
        </w:rPr>
        <w:t>文档。</w:t>
      </w:r>
    </w:p>
    <w:p w14:paraId="3F3B6F07">
      <w:pPr>
        <w:autoSpaceDE w:val="0"/>
        <w:autoSpaceDN w:val="0"/>
        <w:adjustRightInd w:val="0"/>
        <w:snapToGrid w:val="0"/>
        <w:spacing w:line="360" w:lineRule="auto"/>
        <w:ind w:firstLine="643" w:firstLineChars="200"/>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lang w:val="en-US" w:eastAsia="zh-CN"/>
        </w:rPr>
        <w:t>七</w:t>
      </w:r>
      <w:r>
        <w:rPr>
          <w:rFonts w:hint="eastAsia" w:ascii="仿宋_GB2312" w:hAnsi="仿宋_GB2312" w:eastAsia="仿宋_GB2312" w:cs="仿宋_GB2312"/>
          <w:b/>
          <w:sz w:val="32"/>
          <w:szCs w:val="32"/>
          <w:highlight w:val="none"/>
        </w:rPr>
        <w:t>、知识产权</w:t>
      </w:r>
    </w:p>
    <w:p w14:paraId="2F63E45D">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（一）本项目形成的所有课程、视频、案例、品牌成果等知识产权归</w:t>
      </w:r>
      <w:r>
        <w:rPr>
          <w:rFonts w:hint="eastAsia" w:ascii="仿宋_GB2312" w:hAnsi="仿宋_GB2312" w:eastAsia="仿宋_GB2312" w:cs="仿宋_GB2312"/>
          <w:bCs/>
          <w:sz w:val="32"/>
          <w:szCs w:val="32"/>
          <w:highlight w:val="none"/>
          <w:lang w:val="en-US" w:eastAsia="zh-CN"/>
        </w:rPr>
        <w:t>甲方</w:t>
      </w:r>
      <w:r>
        <w:rPr>
          <w:rFonts w:hint="eastAsia" w:ascii="仿宋_GB2312" w:hAnsi="仿宋_GB2312" w:eastAsia="仿宋_GB2312" w:cs="仿宋_GB2312"/>
          <w:bCs/>
          <w:sz w:val="32"/>
          <w:szCs w:val="32"/>
          <w:highlight w:val="none"/>
        </w:rPr>
        <w:t xml:space="preserve">所有。 </w:t>
      </w:r>
    </w:p>
    <w:p w14:paraId="5C27DEAE">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 xml:space="preserve">（二）乙方无论出于任何目的如在其他地方使用该成果，必须经甲方同意方可使用。否则，贵甲方有权要求终止涉及到该中标知识产权的任何使用活动并保留追究卖方相应的法律责任的权利。 </w:t>
      </w:r>
    </w:p>
    <w:p w14:paraId="60B06510">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（三）乙方为执行本合同而提供的技术资料使用权归甲方所有。</w:t>
      </w:r>
    </w:p>
    <w:p w14:paraId="42B31F70">
      <w:pPr>
        <w:autoSpaceDE w:val="0"/>
        <w:autoSpaceDN w:val="0"/>
        <w:adjustRightInd w:val="0"/>
        <w:snapToGrid w:val="0"/>
        <w:spacing w:line="360" w:lineRule="auto"/>
        <w:ind w:firstLine="643" w:firstLineChars="200"/>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rPr>
        <w:t>八、验收</w:t>
      </w:r>
    </w:p>
    <w:p w14:paraId="2D483BCB">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（一）本项目验收费用，由乙方自行承担。</w:t>
      </w:r>
    </w:p>
    <w:p w14:paraId="42304588">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（二）服务期满后，由乙方向甲方递交验收通知书，经甲方确认后，组织乙方进行系统验收。验收合格后，填写项目验收单作为对本次服务的最终认可。</w:t>
      </w:r>
    </w:p>
    <w:p w14:paraId="21DF8F92">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（三）验收依据：</w:t>
      </w:r>
    </w:p>
    <w:p w14:paraId="04F2261C">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1</w:t>
      </w:r>
      <w:r>
        <w:rPr>
          <w:rFonts w:hint="eastAsia" w:ascii="仿宋_GB2312" w:hAnsi="仿宋_GB2312" w:eastAsia="仿宋_GB2312" w:cs="仿宋_GB2312"/>
          <w:bCs/>
          <w:sz w:val="32"/>
          <w:szCs w:val="32"/>
          <w:highlight w:val="none"/>
          <w:lang w:val="en-US" w:eastAsia="zh-CN"/>
        </w:rPr>
        <w:t>.</w:t>
      </w:r>
      <w:r>
        <w:rPr>
          <w:rFonts w:hint="eastAsia" w:ascii="仿宋_GB2312" w:hAnsi="仿宋_GB2312" w:eastAsia="仿宋_GB2312" w:cs="仿宋_GB2312"/>
          <w:bCs/>
          <w:sz w:val="32"/>
          <w:szCs w:val="32"/>
          <w:highlight w:val="none"/>
        </w:rPr>
        <w:t>本合同及附加文本。</w:t>
      </w:r>
    </w:p>
    <w:p w14:paraId="3C74B62E">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2</w:t>
      </w:r>
      <w:r>
        <w:rPr>
          <w:rFonts w:hint="eastAsia" w:ascii="仿宋_GB2312" w:hAnsi="仿宋_GB2312" w:eastAsia="仿宋_GB2312" w:cs="仿宋_GB2312"/>
          <w:bCs/>
          <w:sz w:val="32"/>
          <w:szCs w:val="32"/>
          <w:highlight w:val="none"/>
          <w:lang w:val="en-US" w:eastAsia="zh-CN"/>
        </w:rPr>
        <w:t>.磋商文件</w:t>
      </w:r>
      <w:r>
        <w:rPr>
          <w:rFonts w:hint="eastAsia" w:ascii="仿宋_GB2312" w:hAnsi="仿宋_GB2312" w:eastAsia="仿宋_GB2312" w:cs="仿宋_GB2312"/>
          <w:bCs/>
          <w:sz w:val="32"/>
          <w:szCs w:val="32"/>
          <w:highlight w:val="none"/>
        </w:rPr>
        <w:t>、成交供应商的响应</w:t>
      </w:r>
      <w:r>
        <w:rPr>
          <w:rFonts w:hint="eastAsia" w:ascii="仿宋_GB2312" w:hAnsi="仿宋_GB2312" w:eastAsia="仿宋_GB2312" w:cs="仿宋_GB2312"/>
          <w:bCs/>
          <w:sz w:val="32"/>
          <w:szCs w:val="32"/>
          <w:highlight w:val="none"/>
          <w:lang w:val="en-US" w:eastAsia="zh-CN"/>
        </w:rPr>
        <w:t>函</w:t>
      </w:r>
      <w:r>
        <w:rPr>
          <w:rFonts w:hint="eastAsia" w:ascii="仿宋_GB2312" w:hAnsi="仿宋_GB2312" w:eastAsia="仿宋_GB2312" w:cs="仿宋_GB2312"/>
          <w:bCs/>
          <w:sz w:val="32"/>
          <w:szCs w:val="32"/>
          <w:highlight w:val="none"/>
        </w:rPr>
        <w:t>及澄清（承诺）函。</w:t>
      </w:r>
    </w:p>
    <w:p w14:paraId="3DCD3055">
      <w:pPr>
        <w:adjustRightInd w:val="0"/>
        <w:snapToGrid w:val="0"/>
        <w:spacing w:line="360" w:lineRule="auto"/>
        <w:ind w:firstLine="640" w:firstLineChars="200"/>
        <w:rPr>
          <w:rFonts w:hint="eastAsia" w:ascii="仿宋_GB2312" w:hAnsi="仿宋_GB2312" w:eastAsia="仿宋_GB2312" w:cs="仿宋_GB2312"/>
          <w:b/>
          <w:sz w:val="32"/>
          <w:szCs w:val="32"/>
          <w:highlight w:val="none"/>
        </w:rPr>
      </w:pPr>
      <w:r>
        <w:rPr>
          <w:rFonts w:hint="eastAsia" w:ascii="仿宋_GB2312" w:hAnsi="仿宋_GB2312" w:eastAsia="仿宋_GB2312" w:cs="仿宋_GB2312"/>
          <w:bCs/>
          <w:sz w:val="32"/>
          <w:szCs w:val="32"/>
          <w:highlight w:val="none"/>
        </w:rPr>
        <w:t>3</w:t>
      </w:r>
      <w:r>
        <w:rPr>
          <w:rFonts w:hint="eastAsia" w:ascii="仿宋_GB2312" w:hAnsi="仿宋_GB2312" w:eastAsia="仿宋_GB2312" w:cs="仿宋_GB2312"/>
          <w:bCs/>
          <w:sz w:val="32"/>
          <w:szCs w:val="32"/>
          <w:highlight w:val="none"/>
          <w:lang w:val="en-US" w:eastAsia="zh-CN"/>
        </w:rPr>
        <w:t>.</w:t>
      </w:r>
      <w:r>
        <w:rPr>
          <w:rFonts w:hint="eastAsia" w:ascii="仿宋_GB2312" w:hAnsi="仿宋_GB2312" w:eastAsia="仿宋_GB2312" w:cs="仿宋_GB2312"/>
          <w:bCs/>
          <w:sz w:val="32"/>
          <w:szCs w:val="32"/>
          <w:highlight w:val="none"/>
        </w:rPr>
        <w:t>国家相应的标准、规范。</w:t>
      </w:r>
    </w:p>
    <w:p w14:paraId="0FC9CEC0">
      <w:pPr>
        <w:adjustRightInd w:val="0"/>
        <w:snapToGrid w:val="0"/>
        <w:spacing w:line="360" w:lineRule="auto"/>
        <w:ind w:firstLine="643" w:firstLineChars="200"/>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rPr>
        <w:t>九、保密规定</w:t>
      </w:r>
    </w:p>
    <w:p w14:paraId="27B4B4C7">
      <w:pPr>
        <w:adjustRightInd w:val="0"/>
        <w:snapToGrid w:val="0"/>
        <w:spacing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（一）乙方</w:t>
      </w:r>
      <w:r>
        <w:rPr>
          <w:rFonts w:hint="eastAsia" w:ascii="仿宋_GB2312" w:hAnsi="仿宋_GB2312" w:eastAsia="仿宋_GB2312" w:cs="仿宋_GB2312"/>
          <w:sz w:val="32"/>
          <w:szCs w:val="32"/>
          <w:highlight w:val="none"/>
        </w:rPr>
        <w:t>应对工作中获取的各类数据、文件、信息严格保密，不得擅自使用或泄露。</w:t>
      </w:r>
    </w:p>
    <w:p w14:paraId="5D607287">
      <w:pPr>
        <w:adjustRightInd w:val="0"/>
        <w:snapToGrid w:val="0"/>
        <w:spacing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二</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甲、乙双方应永久恪守因签署或履行本合同而获知的对方秘密信息及其它秘密资料。任何一方如将获知的对方秘密信息泄露给第三方，应赔偿因泄密而给对方造成的一切损失并承担相应的法律责任（包括刑事责任）。</w:t>
      </w:r>
    </w:p>
    <w:p w14:paraId="6B8AFCC2">
      <w:pPr>
        <w:adjustRightInd w:val="0"/>
        <w:snapToGrid w:val="0"/>
        <w:spacing w:line="360" w:lineRule="auto"/>
        <w:ind w:firstLine="643" w:firstLineChars="200"/>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rPr>
        <w:t>十、其它事项</w:t>
      </w:r>
    </w:p>
    <w:p w14:paraId="4B1D5B7F">
      <w:pPr>
        <w:adjustRightInd w:val="0"/>
        <w:snapToGrid w:val="0"/>
        <w:spacing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（一）乙方不得将项目转让、分包给其它单位或个人。</w:t>
      </w:r>
    </w:p>
    <w:p w14:paraId="730B8905">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（二）乙方的响应函和承诺等内容将列入合同。</w:t>
      </w:r>
    </w:p>
    <w:p w14:paraId="2EF247CC">
      <w:pPr>
        <w:autoSpaceDE w:val="0"/>
        <w:autoSpaceDN w:val="0"/>
        <w:adjustRightInd w:val="0"/>
        <w:snapToGrid w:val="0"/>
        <w:spacing w:line="360" w:lineRule="auto"/>
        <w:ind w:firstLine="643" w:firstLineChars="200"/>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十一、违约责任</w:t>
      </w:r>
    </w:p>
    <w:p w14:paraId="0D749A71">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（一）按《中华人民共和国民法典》中的相关条款执行。</w:t>
      </w:r>
    </w:p>
    <w:p w14:paraId="1F7E1591">
      <w:pPr>
        <w:autoSpaceDE w:val="0"/>
        <w:autoSpaceDN w:val="0"/>
        <w:adjustRightInd w:val="0"/>
        <w:snapToGrid w:val="0"/>
        <w:spacing w:line="360" w:lineRule="auto"/>
        <w:ind w:firstLine="63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（二）按合同要求提供服务或服务质量不能满足</w:t>
      </w:r>
      <w:r>
        <w:rPr>
          <w:rFonts w:hint="eastAsia" w:ascii="仿宋_GB2312" w:hAnsi="仿宋_GB2312" w:eastAsia="仿宋_GB2312" w:cs="仿宋_GB2312"/>
          <w:sz w:val="32"/>
          <w:szCs w:val="32"/>
          <w:highlight w:val="none"/>
        </w:rPr>
        <w:t>不能满足本次询价要求</w:t>
      </w:r>
      <w:r>
        <w:rPr>
          <w:rFonts w:hint="eastAsia" w:ascii="仿宋_GB2312" w:hAnsi="仿宋_GB2312" w:eastAsia="仿宋_GB2312" w:cs="仿宋_GB2312"/>
          <w:bCs/>
          <w:sz w:val="32"/>
          <w:szCs w:val="32"/>
          <w:highlight w:val="none"/>
        </w:rPr>
        <w:t>，乙方必须无条件提高技术，完善服务质量，否则，甲方会同监督机构、采购代理机构有权终止合同并对乙方违约行为进行追究，同时按政府采购供应商管理办法进行相应的处罚。</w:t>
      </w:r>
    </w:p>
    <w:p w14:paraId="1F6EB906">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（三）因</w:t>
      </w:r>
      <w:r>
        <w:rPr>
          <w:rFonts w:hint="eastAsia" w:ascii="仿宋_GB2312" w:hAnsi="仿宋_GB2312" w:eastAsia="仿宋_GB2312" w:cs="仿宋_GB2312"/>
          <w:bCs/>
          <w:sz w:val="32"/>
          <w:szCs w:val="32"/>
          <w:highlight w:val="none"/>
          <w:lang w:val="en-US" w:eastAsia="zh-CN"/>
        </w:rPr>
        <w:t>乙方</w:t>
      </w:r>
      <w:r>
        <w:rPr>
          <w:rFonts w:hint="eastAsia" w:ascii="仿宋_GB2312" w:hAnsi="仿宋_GB2312" w:eastAsia="仿宋_GB2312" w:cs="仿宋_GB2312"/>
          <w:bCs/>
          <w:sz w:val="32"/>
          <w:szCs w:val="32"/>
          <w:highlight w:val="none"/>
        </w:rPr>
        <w:t>原因导致任务延误、成果不达标或造成不良影响的，</w:t>
      </w:r>
      <w:r>
        <w:rPr>
          <w:rFonts w:hint="eastAsia" w:ascii="仿宋_GB2312" w:hAnsi="仿宋_GB2312" w:eastAsia="仿宋_GB2312" w:cs="仿宋_GB2312"/>
          <w:bCs/>
          <w:sz w:val="32"/>
          <w:szCs w:val="32"/>
          <w:highlight w:val="none"/>
          <w:lang w:val="en-US" w:eastAsia="zh-CN"/>
        </w:rPr>
        <w:t>甲方</w:t>
      </w:r>
      <w:r>
        <w:rPr>
          <w:rFonts w:hint="eastAsia" w:ascii="仿宋_GB2312" w:hAnsi="仿宋_GB2312" w:eastAsia="仿宋_GB2312" w:cs="仿宋_GB2312"/>
          <w:bCs/>
          <w:sz w:val="32"/>
          <w:szCs w:val="32"/>
          <w:highlight w:val="none"/>
        </w:rPr>
        <w:t>有权扣减费用、终止合同并追究相关责任。</w:t>
      </w:r>
    </w:p>
    <w:p w14:paraId="3B88CD93">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lang w:eastAsia="zh-CN"/>
        </w:rPr>
        <w:t>（</w:t>
      </w:r>
      <w:r>
        <w:rPr>
          <w:rFonts w:hint="eastAsia" w:ascii="仿宋_GB2312" w:hAnsi="仿宋_GB2312" w:eastAsia="仿宋_GB2312" w:cs="仿宋_GB2312"/>
          <w:bCs/>
          <w:sz w:val="32"/>
          <w:szCs w:val="32"/>
          <w:highlight w:val="none"/>
          <w:lang w:val="en-US" w:eastAsia="zh-CN"/>
        </w:rPr>
        <w:t>四）</w:t>
      </w:r>
      <w:r>
        <w:rPr>
          <w:rFonts w:hint="eastAsia" w:ascii="仿宋_GB2312" w:hAnsi="仿宋_GB2312" w:eastAsia="仿宋_GB2312" w:cs="仿宋_GB2312"/>
          <w:bCs/>
          <w:sz w:val="32"/>
          <w:szCs w:val="32"/>
          <w:highlight w:val="none"/>
        </w:rPr>
        <w:t>任何一方因不可抗力原因不能履行协议时，应尽快通知对方，双方均设法补偿。如仍无法履约协议，可协商延缓或撤销协议，双方责任免除。</w:t>
      </w:r>
    </w:p>
    <w:p w14:paraId="5DBFF45C">
      <w:pPr>
        <w:autoSpaceDE w:val="0"/>
        <w:autoSpaceDN w:val="0"/>
        <w:adjustRightInd w:val="0"/>
        <w:snapToGrid w:val="0"/>
        <w:spacing w:line="360" w:lineRule="auto"/>
        <w:ind w:firstLine="643"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
          <w:bCs/>
          <w:sz w:val="32"/>
          <w:szCs w:val="32"/>
          <w:highlight w:val="none"/>
        </w:rPr>
        <w:t>十二、合同争议解决的方式</w:t>
      </w:r>
    </w:p>
    <w:p w14:paraId="28537A5E">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本合同在履行过程中发生的争议，由甲、乙双方当事人协商解决，协商不成的按下列第</w:t>
      </w:r>
      <w:r>
        <w:rPr>
          <w:rFonts w:hint="eastAsia" w:ascii="仿宋_GB2312" w:hAnsi="仿宋_GB2312" w:eastAsia="仿宋_GB2312" w:cs="仿宋_GB2312"/>
          <w:bCs/>
          <w:sz w:val="32"/>
          <w:szCs w:val="32"/>
          <w:highlight w:val="none"/>
          <w:u w:val="single"/>
        </w:rPr>
        <w:t xml:space="preserve"> 2 </w:t>
      </w:r>
      <w:r>
        <w:rPr>
          <w:rFonts w:hint="eastAsia" w:ascii="仿宋_GB2312" w:hAnsi="仿宋_GB2312" w:eastAsia="仿宋_GB2312" w:cs="仿宋_GB2312"/>
          <w:bCs/>
          <w:sz w:val="32"/>
          <w:szCs w:val="32"/>
          <w:highlight w:val="none"/>
        </w:rPr>
        <w:t>种方式解决：</w:t>
      </w:r>
    </w:p>
    <w:p w14:paraId="33568F07">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（一）提交甲方所在地仲裁委员会仲裁。</w:t>
      </w:r>
    </w:p>
    <w:p w14:paraId="7319DECA">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（二）依法向甲方所在地人民法院起诉。</w:t>
      </w:r>
    </w:p>
    <w:p w14:paraId="00031ABB">
      <w:pPr>
        <w:autoSpaceDE w:val="0"/>
        <w:autoSpaceDN w:val="0"/>
        <w:adjustRightInd w:val="0"/>
        <w:snapToGrid w:val="0"/>
        <w:spacing w:line="360" w:lineRule="auto"/>
        <w:ind w:firstLine="643" w:firstLineChars="200"/>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十三、合同生效</w:t>
      </w:r>
    </w:p>
    <w:p w14:paraId="6132BC9E">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（一）本合同须经甲、乙双方的法定代表人（授权代理人）在合同书上签字并加盖本单位公章后正式生效。</w:t>
      </w:r>
    </w:p>
    <w:p w14:paraId="556C447A">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（二）合同生效后，甲、乙双方须严格执行本合同条款的规定，全面履行合同，违者按《中华人民共和国民法典》的有关规定承担相应责任。</w:t>
      </w:r>
    </w:p>
    <w:p w14:paraId="534506E3">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（三）本合同一式</w:t>
      </w:r>
      <w:r>
        <w:rPr>
          <w:rFonts w:hint="eastAsia" w:ascii="仿宋_GB2312" w:hAnsi="仿宋_GB2312" w:eastAsia="仿宋_GB2312" w:cs="仿宋_GB2312"/>
          <w:bCs/>
          <w:sz w:val="32"/>
          <w:szCs w:val="32"/>
          <w:highlight w:val="none"/>
          <w:u w:val="single"/>
        </w:rPr>
        <w:t xml:space="preserve">   </w:t>
      </w:r>
      <w:r>
        <w:rPr>
          <w:rFonts w:hint="eastAsia" w:ascii="仿宋_GB2312" w:hAnsi="仿宋_GB2312" w:eastAsia="仿宋_GB2312" w:cs="仿宋_GB2312"/>
          <w:bCs/>
          <w:sz w:val="32"/>
          <w:szCs w:val="32"/>
          <w:highlight w:val="none"/>
        </w:rPr>
        <w:t>份，甲乙双方各执</w:t>
      </w:r>
      <w:r>
        <w:rPr>
          <w:rFonts w:hint="eastAsia" w:ascii="仿宋_GB2312" w:hAnsi="仿宋_GB2312" w:eastAsia="仿宋_GB2312" w:cs="仿宋_GB2312"/>
          <w:bCs/>
          <w:sz w:val="32"/>
          <w:szCs w:val="32"/>
          <w:highlight w:val="none"/>
          <w:u w:val="single"/>
        </w:rPr>
        <w:t xml:space="preserve">    </w:t>
      </w:r>
      <w:r>
        <w:rPr>
          <w:rFonts w:hint="eastAsia" w:ascii="仿宋_GB2312" w:hAnsi="仿宋_GB2312" w:eastAsia="仿宋_GB2312" w:cs="仿宋_GB2312"/>
          <w:bCs/>
          <w:sz w:val="32"/>
          <w:szCs w:val="32"/>
          <w:highlight w:val="none"/>
        </w:rPr>
        <w:t>份。</w:t>
      </w:r>
    </w:p>
    <w:p w14:paraId="6267327B">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（四）本合同如有未尽事宜，甲、乙双方协商解决。</w:t>
      </w:r>
    </w:p>
    <w:tbl>
      <w:tblPr>
        <w:tblStyle w:val="10"/>
        <w:tblW w:w="0" w:type="auto"/>
        <w:jc w:val="center"/>
        <w:tblLayout w:type="fixed"/>
        <w:tblCellMar>
          <w:top w:w="0" w:type="dxa"/>
          <w:left w:w="108" w:type="dxa"/>
          <w:bottom w:w="0" w:type="dxa"/>
          <w:right w:w="108" w:type="dxa"/>
        </w:tblCellMar>
      </w:tblPr>
      <w:tblGrid>
        <w:gridCol w:w="4201"/>
        <w:gridCol w:w="4202"/>
      </w:tblGrid>
      <w:tr w14:paraId="781AC7E7">
        <w:tblPrEx>
          <w:tblCellMar>
            <w:top w:w="0" w:type="dxa"/>
            <w:left w:w="108" w:type="dxa"/>
            <w:bottom w:w="0" w:type="dxa"/>
            <w:right w:w="108" w:type="dxa"/>
          </w:tblCellMar>
        </w:tblPrEx>
        <w:trPr>
          <w:trHeight w:val="567" w:hRule="exact"/>
          <w:jc w:val="center"/>
        </w:trPr>
        <w:tc>
          <w:tcPr>
            <w:tcW w:w="4201" w:type="dxa"/>
            <w:noWrap w:val="0"/>
            <w:vAlign w:val="center"/>
          </w:tcPr>
          <w:p w14:paraId="7E61A7D7">
            <w:pPr>
              <w:autoSpaceDE w:val="0"/>
              <w:autoSpaceDN w:val="0"/>
              <w:adjustRightInd w:val="0"/>
              <w:rPr>
                <w:rFonts w:hint="eastAsia" w:ascii="仿宋_GB2312" w:hAnsi="仿宋_GB2312" w:eastAsia="仿宋_GB2312" w:cs="仿宋_GB2312"/>
                <w:spacing w:val="-20"/>
                <w:kern w:val="0"/>
                <w:sz w:val="32"/>
                <w:szCs w:val="32"/>
                <w:highlight w:val="none"/>
              </w:rPr>
            </w:pPr>
            <w:r>
              <w:rPr>
                <w:rFonts w:hint="eastAsia" w:ascii="仿宋_GB2312" w:hAnsi="仿宋_GB2312" w:eastAsia="仿宋_GB2312" w:cs="仿宋_GB2312"/>
                <w:spacing w:val="-20"/>
                <w:kern w:val="0"/>
                <w:sz w:val="32"/>
                <w:szCs w:val="32"/>
                <w:highlight w:val="none"/>
              </w:rPr>
              <w:t>甲  方</w:t>
            </w:r>
          </w:p>
        </w:tc>
        <w:tc>
          <w:tcPr>
            <w:tcW w:w="4202" w:type="dxa"/>
            <w:noWrap w:val="0"/>
            <w:vAlign w:val="center"/>
          </w:tcPr>
          <w:p w14:paraId="229607F6">
            <w:pPr>
              <w:autoSpaceDE w:val="0"/>
              <w:autoSpaceDN w:val="0"/>
              <w:adjustRightInd w:val="0"/>
              <w:rPr>
                <w:rFonts w:hint="eastAsia" w:ascii="仿宋_GB2312" w:hAnsi="仿宋_GB2312" w:eastAsia="仿宋_GB2312" w:cs="仿宋_GB2312"/>
                <w:spacing w:val="-20"/>
                <w:kern w:val="0"/>
                <w:sz w:val="32"/>
                <w:szCs w:val="32"/>
                <w:highlight w:val="none"/>
              </w:rPr>
            </w:pPr>
            <w:r>
              <w:rPr>
                <w:rFonts w:hint="eastAsia" w:ascii="仿宋_GB2312" w:hAnsi="仿宋_GB2312" w:eastAsia="仿宋_GB2312" w:cs="仿宋_GB2312"/>
                <w:spacing w:val="-20"/>
                <w:kern w:val="0"/>
                <w:sz w:val="32"/>
                <w:szCs w:val="32"/>
                <w:highlight w:val="none"/>
              </w:rPr>
              <w:t>乙  方</w:t>
            </w:r>
          </w:p>
        </w:tc>
      </w:tr>
      <w:tr w14:paraId="245BF3C2">
        <w:tblPrEx>
          <w:tblCellMar>
            <w:top w:w="0" w:type="dxa"/>
            <w:left w:w="108" w:type="dxa"/>
            <w:bottom w:w="0" w:type="dxa"/>
            <w:right w:w="108" w:type="dxa"/>
          </w:tblCellMar>
        </w:tblPrEx>
        <w:trPr>
          <w:trHeight w:val="567" w:hRule="exact"/>
          <w:jc w:val="center"/>
        </w:trPr>
        <w:tc>
          <w:tcPr>
            <w:tcW w:w="4201" w:type="dxa"/>
            <w:noWrap w:val="0"/>
            <w:vAlign w:val="center"/>
          </w:tcPr>
          <w:p w14:paraId="5CE4F6A3">
            <w:pPr>
              <w:autoSpaceDE w:val="0"/>
              <w:autoSpaceDN w:val="0"/>
              <w:adjustRightInd w:val="0"/>
              <w:ind w:firstLine="980" w:firstLineChars="350"/>
              <w:rPr>
                <w:rFonts w:hint="eastAsia" w:ascii="仿宋_GB2312" w:hAnsi="仿宋_GB2312" w:eastAsia="仿宋_GB2312" w:cs="仿宋_GB2312"/>
                <w:spacing w:val="-20"/>
                <w:kern w:val="0"/>
                <w:sz w:val="32"/>
                <w:szCs w:val="32"/>
                <w:highlight w:val="none"/>
              </w:rPr>
            </w:pPr>
            <w:r>
              <w:rPr>
                <w:rFonts w:hint="eastAsia" w:ascii="仿宋_GB2312" w:hAnsi="仿宋_GB2312" w:eastAsia="仿宋_GB2312" w:cs="仿宋_GB2312"/>
                <w:spacing w:val="-20"/>
                <w:kern w:val="0"/>
                <w:sz w:val="32"/>
                <w:szCs w:val="32"/>
                <w:highlight w:val="none"/>
              </w:rPr>
              <w:t>（盖章）</w:t>
            </w:r>
          </w:p>
        </w:tc>
        <w:tc>
          <w:tcPr>
            <w:tcW w:w="4202" w:type="dxa"/>
            <w:noWrap w:val="0"/>
            <w:vAlign w:val="center"/>
          </w:tcPr>
          <w:p w14:paraId="2DA6FAFE">
            <w:pPr>
              <w:autoSpaceDE w:val="0"/>
              <w:autoSpaceDN w:val="0"/>
              <w:adjustRightInd w:val="0"/>
              <w:ind w:firstLine="1120" w:firstLineChars="400"/>
              <w:rPr>
                <w:rFonts w:hint="eastAsia" w:ascii="仿宋_GB2312" w:hAnsi="仿宋_GB2312" w:eastAsia="仿宋_GB2312" w:cs="仿宋_GB2312"/>
                <w:spacing w:val="-20"/>
                <w:kern w:val="0"/>
                <w:sz w:val="32"/>
                <w:szCs w:val="32"/>
                <w:highlight w:val="none"/>
              </w:rPr>
            </w:pPr>
            <w:r>
              <w:rPr>
                <w:rFonts w:hint="eastAsia" w:ascii="仿宋_GB2312" w:hAnsi="仿宋_GB2312" w:eastAsia="仿宋_GB2312" w:cs="仿宋_GB2312"/>
                <w:spacing w:val="-20"/>
                <w:kern w:val="0"/>
                <w:sz w:val="32"/>
                <w:szCs w:val="32"/>
                <w:highlight w:val="none"/>
              </w:rPr>
              <w:t>（盖章）</w:t>
            </w:r>
          </w:p>
        </w:tc>
      </w:tr>
      <w:tr w14:paraId="6F8573EB">
        <w:tblPrEx>
          <w:tblCellMar>
            <w:top w:w="0" w:type="dxa"/>
            <w:left w:w="108" w:type="dxa"/>
            <w:bottom w:w="0" w:type="dxa"/>
            <w:right w:w="108" w:type="dxa"/>
          </w:tblCellMar>
        </w:tblPrEx>
        <w:trPr>
          <w:trHeight w:val="567" w:hRule="exact"/>
          <w:jc w:val="center"/>
        </w:trPr>
        <w:tc>
          <w:tcPr>
            <w:tcW w:w="4201" w:type="dxa"/>
            <w:noWrap w:val="0"/>
            <w:vAlign w:val="center"/>
          </w:tcPr>
          <w:p w14:paraId="04C373F5">
            <w:pPr>
              <w:autoSpaceDE w:val="0"/>
              <w:autoSpaceDN w:val="0"/>
              <w:adjustRightInd w:val="0"/>
              <w:rPr>
                <w:rFonts w:hint="eastAsia" w:ascii="仿宋_GB2312" w:hAnsi="仿宋_GB2312" w:eastAsia="仿宋_GB2312" w:cs="仿宋_GB2312"/>
                <w:spacing w:val="-20"/>
                <w:kern w:val="0"/>
                <w:sz w:val="32"/>
                <w:szCs w:val="32"/>
                <w:highlight w:val="none"/>
              </w:rPr>
            </w:pPr>
            <w:r>
              <w:rPr>
                <w:rFonts w:hint="eastAsia" w:ascii="仿宋_GB2312" w:hAnsi="仿宋_GB2312" w:eastAsia="仿宋_GB2312" w:cs="仿宋_GB2312"/>
                <w:spacing w:val="-20"/>
                <w:kern w:val="0"/>
                <w:sz w:val="32"/>
                <w:szCs w:val="32"/>
                <w:highlight w:val="none"/>
              </w:rPr>
              <w:t xml:space="preserve">地址： </w:t>
            </w:r>
          </w:p>
        </w:tc>
        <w:tc>
          <w:tcPr>
            <w:tcW w:w="4202" w:type="dxa"/>
            <w:noWrap w:val="0"/>
            <w:vAlign w:val="center"/>
          </w:tcPr>
          <w:p w14:paraId="22FEE0D7">
            <w:pPr>
              <w:autoSpaceDE w:val="0"/>
              <w:autoSpaceDN w:val="0"/>
              <w:adjustRightInd w:val="0"/>
              <w:rPr>
                <w:rFonts w:hint="eastAsia" w:ascii="仿宋_GB2312" w:hAnsi="仿宋_GB2312" w:eastAsia="仿宋_GB2312" w:cs="仿宋_GB2312"/>
                <w:spacing w:val="-20"/>
                <w:kern w:val="0"/>
                <w:sz w:val="32"/>
                <w:szCs w:val="32"/>
                <w:highlight w:val="none"/>
              </w:rPr>
            </w:pPr>
            <w:r>
              <w:rPr>
                <w:rFonts w:hint="eastAsia" w:ascii="仿宋_GB2312" w:hAnsi="仿宋_GB2312" w:eastAsia="仿宋_GB2312" w:cs="仿宋_GB2312"/>
                <w:spacing w:val="-20"/>
                <w:kern w:val="0"/>
                <w:sz w:val="32"/>
                <w:szCs w:val="32"/>
                <w:highlight w:val="none"/>
              </w:rPr>
              <w:t>地址：</w:t>
            </w:r>
          </w:p>
        </w:tc>
      </w:tr>
      <w:tr w14:paraId="6E68C559">
        <w:tblPrEx>
          <w:tblCellMar>
            <w:top w:w="0" w:type="dxa"/>
            <w:left w:w="108" w:type="dxa"/>
            <w:bottom w:w="0" w:type="dxa"/>
            <w:right w:w="108" w:type="dxa"/>
          </w:tblCellMar>
        </w:tblPrEx>
        <w:trPr>
          <w:trHeight w:val="567" w:hRule="exact"/>
          <w:jc w:val="center"/>
        </w:trPr>
        <w:tc>
          <w:tcPr>
            <w:tcW w:w="4201" w:type="dxa"/>
            <w:noWrap w:val="0"/>
            <w:vAlign w:val="center"/>
          </w:tcPr>
          <w:p w14:paraId="7B36907B">
            <w:pPr>
              <w:autoSpaceDE w:val="0"/>
              <w:autoSpaceDN w:val="0"/>
              <w:adjustRightInd w:val="0"/>
              <w:rPr>
                <w:rFonts w:hint="eastAsia" w:ascii="仿宋_GB2312" w:hAnsi="仿宋_GB2312" w:eastAsia="仿宋_GB2312" w:cs="仿宋_GB2312"/>
                <w:spacing w:val="-20"/>
                <w:kern w:val="0"/>
                <w:sz w:val="32"/>
                <w:szCs w:val="32"/>
                <w:highlight w:val="none"/>
              </w:rPr>
            </w:pPr>
            <w:r>
              <w:rPr>
                <w:rFonts w:hint="eastAsia" w:ascii="仿宋_GB2312" w:hAnsi="仿宋_GB2312" w:eastAsia="仿宋_GB2312" w:cs="仿宋_GB2312"/>
                <w:spacing w:val="-20"/>
                <w:kern w:val="0"/>
                <w:sz w:val="32"/>
                <w:szCs w:val="32"/>
                <w:highlight w:val="none"/>
              </w:rPr>
              <w:t xml:space="preserve">法定代表人： </w:t>
            </w:r>
          </w:p>
        </w:tc>
        <w:tc>
          <w:tcPr>
            <w:tcW w:w="4202" w:type="dxa"/>
            <w:noWrap w:val="0"/>
            <w:vAlign w:val="center"/>
          </w:tcPr>
          <w:p w14:paraId="2EC70477">
            <w:pPr>
              <w:autoSpaceDE w:val="0"/>
              <w:autoSpaceDN w:val="0"/>
              <w:adjustRightInd w:val="0"/>
              <w:rPr>
                <w:rFonts w:hint="eastAsia" w:ascii="仿宋_GB2312" w:hAnsi="仿宋_GB2312" w:eastAsia="仿宋_GB2312" w:cs="仿宋_GB2312"/>
                <w:spacing w:val="-20"/>
                <w:kern w:val="0"/>
                <w:sz w:val="32"/>
                <w:szCs w:val="32"/>
                <w:highlight w:val="none"/>
              </w:rPr>
            </w:pPr>
            <w:r>
              <w:rPr>
                <w:rFonts w:hint="eastAsia" w:ascii="仿宋_GB2312" w:hAnsi="仿宋_GB2312" w:eastAsia="仿宋_GB2312" w:cs="仿宋_GB2312"/>
                <w:spacing w:val="-20"/>
                <w:kern w:val="0"/>
                <w:sz w:val="32"/>
                <w:szCs w:val="32"/>
                <w:highlight w:val="none"/>
              </w:rPr>
              <w:t>法定代表人：</w:t>
            </w:r>
          </w:p>
        </w:tc>
      </w:tr>
      <w:tr w14:paraId="375EE862">
        <w:tblPrEx>
          <w:tblCellMar>
            <w:top w:w="0" w:type="dxa"/>
            <w:left w:w="108" w:type="dxa"/>
            <w:bottom w:w="0" w:type="dxa"/>
            <w:right w:w="108" w:type="dxa"/>
          </w:tblCellMar>
        </w:tblPrEx>
        <w:trPr>
          <w:trHeight w:val="567" w:hRule="exact"/>
          <w:jc w:val="center"/>
        </w:trPr>
        <w:tc>
          <w:tcPr>
            <w:tcW w:w="4201" w:type="dxa"/>
            <w:noWrap w:val="0"/>
            <w:vAlign w:val="center"/>
          </w:tcPr>
          <w:p w14:paraId="69DCA5AE">
            <w:pPr>
              <w:autoSpaceDE w:val="0"/>
              <w:autoSpaceDN w:val="0"/>
              <w:adjustRightInd w:val="0"/>
              <w:rPr>
                <w:rFonts w:hint="eastAsia" w:ascii="仿宋_GB2312" w:hAnsi="仿宋_GB2312" w:eastAsia="仿宋_GB2312" w:cs="仿宋_GB2312"/>
                <w:spacing w:val="-20"/>
                <w:kern w:val="0"/>
                <w:sz w:val="32"/>
                <w:szCs w:val="32"/>
                <w:highlight w:val="none"/>
              </w:rPr>
            </w:pPr>
            <w:r>
              <w:rPr>
                <w:rFonts w:hint="eastAsia" w:ascii="仿宋_GB2312" w:hAnsi="仿宋_GB2312" w:eastAsia="仿宋_GB2312" w:cs="仿宋_GB2312"/>
                <w:spacing w:val="-20"/>
                <w:kern w:val="0"/>
                <w:sz w:val="32"/>
                <w:szCs w:val="32"/>
                <w:highlight w:val="none"/>
              </w:rPr>
              <w:t>被授权代表：</w:t>
            </w:r>
          </w:p>
        </w:tc>
        <w:tc>
          <w:tcPr>
            <w:tcW w:w="4202" w:type="dxa"/>
            <w:noWrap w:val="0"/>
            <w:vAlign w:val="center"/>
          </w:tcPr>
          <w:p w14:paraId="2063C62E">
            <w:pPr>
              <w:autoSpaceDE w:val="0"/>
              <w:autoSpaceDN w:val="0"/>
              <w:adjustRightInd w:val="0"/>
              <w:rPr>
                <w:rFonts w:hint="eastAsia" w:ascii="仿宋_GB2312" w:hAnsi="仿宋_GB2312" w:eastAsia="仿宋_GB2312" w:cs="仿宋_GB2312"/>
                <w:spacing w:val="-20"/>
                <w:kern w:val="0"/>
                <w:sz w:val="32"/>
                <w:szCs w:val="32"/>
                <w:highlight w:val="none"/>
              </w:rPr>
            </w:pPr>
            <w:r>
              <w:rPr>
                <w:rFonts w:hint="eastAsia" w:ascii="仿宋_GB2312" w:hAnsi="仿宋_GB2312" w:eastAsia="仿宋_GB2312" w:cs="仿宋_GB2312"/>
                <w:spacing w:val="-20"/>
                <w:kern w:val="0"/>
                <w:sz w:val="32"/>
                <w:szCs w:val="32"/>
                <w:highlight w:val="none"/>
              </w:rPr>
              <w:t>被授权代表：</w:t>
            </w:r>
          </w:p>
        </w:tc>
      </w:tr>
      <w:tr w14:paraId="5EBB2CBB">
        <w:tblPrEx>
          <w:tblCellMar>
            <w:top w:w="0" w:type="dxa"/>
            <w:left w:w="108" w:type="dxa"/>
            <w:bottom w:w="0" w:type="dxa"/>
            <w:right w:w="108" w:type="dxa"/>
          </w:tblCellMar>
        </w:tblPrEx>
        <w:trPr>
          <w:trHeight w:val="567" w:hRule="exact"/>
          <w:jc w:val="center"/>
        </w:trPr>
        <w:tc>
          <w:tcPr>
            <w:tcW w:w="4201" w:type="dxa"/>
            <w:noWrap w:val="0"/>
            <w:vAlign w:val="center"/>
          </w:tcPr>
          <w:p w14:paraId="78266583">
            <w:pPr>
              <w:autoSpaceDE w:val="0"/>
              <w:autoSpaceDN w:val="0"/>
              <w:adjustRightInd w:val="0"/>
              <w:rPr>
                <w:rFonts w:hint="eastAsia" w:ascii="仿宋_GB2312" w:hAnsi="仿宋_GB2312" w:eastAsia="仿宋_GB2312" w:cs="仿宋_GB2312"/>
                <w:spacing w:val="-20"/>
                <w:kern w:val="0"/>
                <w:sz w:val="32"/>
                <w:szCs w:val="32"/>
                <w:highlight w:val="none"/>
              </w:rPr>
            </w:pPr>
            <w:r>
              <w:rPr>
                <w:rFonts w:hint="eastAsia" w:ascii="仿宋_GB2312" w:hAnsi="仿宋_GB2312" w:eastAsia="仿宋_GB2312" w:cs="仿宋_GB2312"/>
                <w:spacing w:val="-20"/>
                <w:kern w:val="0"/>
                <w:sz w:val="32"/>
                <w:szCs w:val="32"/>
                <w:highlight w:val="none"/>
              </w:rPr>
              <w:t>电话：</w:t>
            </w:r>
          </w:p>
        </w:tc>
        <w:tc>
          <w:tcPr>
            <w:tcW w:w="4202" w:type="dxa"/>
            <w:noWrap w:val="0"/>
            <w:vAlign w:val="center"/>
          </w:tcPr>
          <w:p w14:paraId="51A5099C">
            <w:pPr>
              <w:autoSpaceDE w:val="0"/>
              <w:autoSpaceDN w:val="0"/>
              <w:adjustRightInd w:val="0"/>
              <w:ind w:left="840" w:hanging="840" w:hangingChars="300"/>
              <w:rPr>
                <w:rFonts w:hint="eastAsia" w:ascii="仿宋_GB2312" w:hAnsi="仿宋_GB2312" w:eastAsia="仿宋_GB2312" w:cs="仿宋_GB2312"/>
                <w:spacing w:val="-20"/>
                <w:kern w:val="0"/>
                <w:sz w:val="32"/>
                <w:szCs w:val="32"/>
                <w:highlight w:val="none"/>
              </w:rPr>
            </w:pPr>
            <w:r>
              <w:rPr>
                <w:rFonts w:hint="eastAsia" w:ascii="仿宋_GB2312" w:hAnsi="仿宋_GB2312" w:eastAsia="仿宋_GB2312" w:cs="仿宋_GB2312"/>
                <w:spacing w:val="-20"/>
                <w:kern w:val="0"/>
                <w:sz w:val="32"/>
                <w:szCs w:val="32"/>
                <w:highlight w:val="none"/>
              </w:rPr>
              <w:t>电话：</w:t>
            </w:r>
          </w:p>
        </w:tc>
      </w:tr>
      <w:tr w14:paraId="3CDD77A5">
        <w:tblPrEx>
          <w:tblCellMar>
            <w:top w:w="0" w:type="dxa"/>
            <w:left w:w="108" w:type="dxa"/>
            <w:bottom w:w="0" w:type="dxa"/>
            <w:right w:w="108" w:type="dxa"/>
          </w:tblCellMar>
        </w:tblPrEx>
        <w:trPr>
          <w:trHeight w:val="567" w:hRule="exact"/>
          <w:jc w:val="center"/>
        </w:trPr>
        <w:tc>
          <w:tcPr>
            <w:tcW w:w="4201" w:type="dxa"/>
            <w:noWrap w:val="0"/>
            <w:vAlign w:val="center"/>
          </w:tcPr>
          <w:p w14:paraId="73527882">
            <w:pPr>
              <w:autoSpaceDE w:val="0"/>
              <w:autoSpaceDN w:val="0"/>
              <w:adjustRightInd w:val="0"/>
              <w:rPr>
                <w:rFonts w:hint="eastAsia" w:ascii="仿宋_GB2312" w:hAnsi="仿宋_GB2312" w:eastAsia="仿宋_GB2312" w:cs="仿宋_GB2312"/>
                <w:spacing w:val="-20"/>
                <w:kern w:val="0"/>
                <w:sz w:val="32"/>
                <w:szCs w:val="32"/>
                <w:highlight w:val="none"/>
              </w:rPr>
            </w:pPr>
            <w:r>
              <w:rPr>
                <w:rFonts w:hint="eastAsia" w:ascii="仿宋_GB2312" w:hAnsi="仿宋_GB2312" w:eastAsia="仿宋_GB2312" w:cs="仿宋_GB2312"/>
                <w:spacing w:val="-20"/>
                <w:kern w:val="0"/>
                <w:sz w:val="32"/>
                <w:szCs w:val="32"/>
                <w:highlight w:val="none"/>
              </w:rPr>
              <w:t>传真：</w:t>
            </w:r>
          </w:p>
        </w:tc>
        <w:tc>
          <w:tcPr>
            <w:tcW w:w="4202" w:type="dxa"/>
            <w:noWrap w:val="0"/>
            <w:vAlign w:val="center"/>
          </w:tcPr>
          <w:p w14:paraId="3EA2F66A">
            <w:pPr>
              <w:autoSpaceDE w:val="0"/>
              <w:autoSpaceDN w:val="0"/>
              <w:adjustRightInd w:val="0"/>
              <w:rPr>
                <w:rFonts w:hint="eastAsia" w:ascii="仿宋_GB2312" w:hAnsi="仿宋_GB2312" w:eastAsia="仿宋_GB2312" w:cs="仿宋_GB2312"/>
                <w:spacing w:val="-20"/>
                <w:kern w:val="0"/>
                <w:sz w:val="32"/>
                <w:szCs w:val="32"/>
                <w:highlight w:val="none"/>
              </w:rPr>
            </w:pPr>
            <w:r>
              <w:rPr>
                <w:rFonts w:hint="eastAsia" w:ascii="仿宋_GB2312" w:hAnsi="仿宋_GB2312" w:eastAsia="仿宋_GB2312" w:cs="仿宋_GB2312"/>
                <w:spacing w:val="-20"/>
                <w:kern w:val="0"/>
                <w:sz w:val="32"/>
                <w:szCs w:val="32"/>
                <w:highlight w:val="none"/>
              </w:rPr>
              <w:t>传真：</w:t>
            </w:r>
          </w:p>
        </w:tc>
      </w:tr>
      <w:tr w14:paraId="4E3164BC">
        <w:tblPrEx>
          <w:tblCellMar>
            <w:top w:w="0" w:type="dxa"/>
            <w:left w:w="108" w:type="dxa"/>
            <w:bottom w:w="0" w:type="dxa"/>
            <w:right w:w="108" w:type="dxa"/>
          </w:tblCellMar>
        </w:tblPrEx>
        <w:trPr>
          <w:trHeight w:val="567" w:hRule="exact"/>
          <w:jc w:val="center"/>
        </w:trPr>
        <w:tc>
          <w:tcPr>
            <w:tcW w:w="4201" w:type="dxa"/>
            <w:noWrap w:val="0"/>
            <w:vAlign w:val="center"/>
          </w:tcPr>
          <w:p w14:paraId="7DB7D65E">
            <w:pPr>
              <w:autoSpaceDE w:val="0"/>
              <w:autoSpaceDN w:val="0"/>
              <w:adjustRightInd w:val="0"/>
              <w:rPr>
                <w:rFonts w:hint="eastAsia" w:ascii="仿宋_GB2312" w:hAnsi="仿宋_GB2312" w:eastAsia="仿宋_GB2312" w:cs="仿宋_GB2312"/>
                <w:spacing w:val="-20"/>
                <w:kern w:val="0"/>
                <w:sz w:val="32"/>
                <w:szCs w:val="32"/>
                <w:highlight w:val="none"/>
              </w:rPr>
            </w:pPr>
            <w:r>
              <w:rPr>
                <w:rFonts w:hint="eastAsia" w:ascii="仿宋_GB2312" w:hAnsi="仿宋_GB2312" w:eastAsia="仿宋_GB2312" w:cs="仿宋_GB2312"/>
                <w:spacing w:val="-20"/>
                <w:kern w:val="0"/>
                <w:sz w:val="32"/>
                <w:szCs w:val="32"/>
                <w:highlight w:val="none"/>
              </w:rPr>
              <w:t>开户银行：</w:t>
            </w:r>
          </w:p>
        </w:tc>
        <w:tc>
          <w:tcPr>
            <w:tcW w:w="4202" w:type="dxa"/>
            <w:noWrap w:val="0"/>
            <w:vAlign w:val="center"/>
          </w:tcPr>
          <w:p w14:paraId="50F01E71">
            <w:pPr>
              <w:autoSpaceDE w:val="0"/>
              <w:autoSpaceDN w:val="0"/>
              <w:adjustRightInd w:val="0"/>
              <w:rPr>
                <w:rFonts w:hint="eastAsia" w:ascii="仿宋_GB2312" w:hAnsi="仿宋_GB2312" w:eastAsia="仿宋_GB2312" w:cs="仿宋_GB2312"/>
                <w:spacing w:val="-20"/>
                <w:kern w:val="0"/>
                <w:sz w:val="32"/>
                <w:szCs w:val="32"/>
                <w:highlight w:val="none"/>
              </w:rPr>
            </w:pPr>
            <w:r>
              <w:rPr>
                <w:rFonts w:hint="eastAsia" w:ascii="仿宋_GB2312" w:hAnsi="仿宋_GB2312" w:eastAsia="仿宋_GB2312" w:cs="仿宋_GB2312"/>
                <w:spacing w:val="-20"/>
                <w:kern w:val="0"/>
                <w:sz w:val="32"/>
                <w:szCs w:val="32"/>
                <w:highlight w:val="none"/>
              </w:rPr>
              <w:t>开户银行：</w:t>
            </w:r>
          </w:p>
        </w:tc>
      </w:tr>
      <w:tr w14:paraId="0343308A">
        <w:tblPrEx>
          <w:tblCellMar>
            <w:top w:w="0" w:type="dxa"/>
            <w:left w:w="108" w:type="dxa"/>
            <w:bottom w:w="0" w:type="dxa"/>
            <w:right w:w="108" w:type="dxa"/>
          </w:tblCellMar>
        </w:tblPrEx>
        <w:trPr>
          <w:trHeight w:val="567" w:hRule="exact"/>
          <w:jc w:val="center"/>
        </w:trPr>
        <w:tc>
          <w:tcPr>
            <w:tcW w:w="4201" w:type="dxa"/>
            <w:noWrap w:val="0"/>
            <w:vAlign w:val="center"/>
          </w:tcPr>
          <w:p w14:paraId="283FF845">
            <w:pPr>
              <w:autoSpaceDE w:val="0"/>
              <w:autoSpaceDN w:val="0"/>
              <w:adjustRightInd w:val="0"/>
              <w:rPr>
                <w:rFonts w:hint="eastAsia" w:ascii="仿宋_GB2312" w:hAnsi="仿宋_GB2312" w:eastAsia="仿宋_GB2312" w:cs="仿宋_GB2312"/>
                <w:spacing w:val="-20"/>
                <w:kern w:val="0"/>
                <w:sz w:val="32"/>
                <w:szCs w:val="32"/>
                <w:highlight w:val="none"/>
              </w:rPr>
            </w:pPr>
            <w:r>
              <w:rPr>
                <w:rFonts w:hint="eastAsia" w:ascii="仿宋_GB2312" w:hAnsi="仿宋_GB2312" w:eastAsia="仿宋_GB2312" w:cs="仿宋_GB2312"/>
                <w:spacing w:val="-20"/>
                <w:kern w:val="0"/>
                <w:sz w:val="32"/>
                <w:szCs w:val="32"/>
                <w:highlight w:val="none"/>
              </w:rPr>
              <w:t>日期：</w:t>
            </w:r>
          </w:p>
        </w:tc>
        <w:tc>
          <w:tcPr>
            <w:tcW w:w="4202" w:type="dxa"/>
            <w:noWrap w:val="0"/>
            <w:vAlign w:val="center"/>
          </w:tcPr>
          <w:p w14:paraId="41E172FA">
            <w:pPr>
              <w:autoSpaceDE w:val="0"/>
              <w:autoSpaceDN w:val="0"/>
              <w:adjustRightInd w:val="0"/>
              <w:rPr>
                <w:rFonts w:hint="eastAsia" w:ascii="仿宋_GB2312" w:hAnsi="仿宋_GB2312" w:eastAsia="仿宋_GB2312" w:cs="仿宋_GB2312"/>
                <w:spacing w:val="-20"/>
                <w:kern w:val="0"/>
                <w:sz w:val="32"/>
                <w:szCs w:val="32"/>
                <w:highlight w:val="none"/>
              </w:rPr>
            </w:pPr>
            <w:r>
              <w:rPr>
                <w:rFonts w:hint="eastAsia" w:ascii="仿宋_GB2312" w:hAnsi="仿宋_GB2312" w:eastAsia="仿宋_GB2312" w:cs="仿宋_GB2312"/>
                <w:spacing w:val="-20"/>
                <w:kern w:val="0"/>
                <w:sz w:val="32"/>
                <w:szCs w:val="32"/>
                <w:highlight w:val="none"/>
              </w:rPr>
              <w:t>日期：</w:t>
            </w:r>
          </w:p>
        </w:tc>
      </w:tr>
    </w:tbl>
    <w:p w14:paraId="615A4BB9">
      <w:pPr>
        <w:rPr>
          <w:rFonts w:hint="eastAsia" w:ascii="仿宋_GB2312" w:hAnsi="仿宋_GB2312" w:eastAsia="仿宋_GB2312" w:cs="仿宋_GB2312"/>
          <w:sz w:val="32"/>
          <w:szCs w:val="32"/>
          <w:highlight w:val="none"/>
        </w:rPr>
      </w:pPr>
    </w:p>
    <w:sectPr>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4B6305"/>
    <w:rsid w:val="00C34048"/>
    <w:rsid w:val="050471D5"/>
    <w:rsid w:val="053C7039"/>
    <w:rsid w:val="05711A44"/>
    <w:rsid w:val="07055153"/>
    <w:rsid w:val="07F933E3"/>
    <w:rsid w:val="09CF2980"/>
    <w:rsid w:val="09D0533B"/>
    <w:rsid w:val="0B6F77E5"/>
    <w:rsid w:val="0BE77DA2"/>
    <w:rsid w:val="117A2513"/>
    <w:rsid w:val="13FE0526"/>
    <w:rsid w:val="17D74BAD"/>
    <w:rsid w:val="181C3FA3"/>
    <w:rsid w:val="18EF18DD"/>
    <w:rsid w:val="19235D7C"/>
    <w:rsid w:val="1F5A6197"/>
    <w:rsid w:val="23C949D6"/>
    <w:rsid w:val="26396924"/>
    <w:rsid w:val="26E13E53"/>
    <w:rsid w:val="27D868FE"/>
    <w:rsid w:val="283D6944"/>
    <w:rsid w:val="297558AC"/>
    <w:rsid w:val="2D901664"/>
    <w:rsid w:val="333A6108"/>
    <w:rsid w:val="34391CBC"/>
    <w:rsid w:val="34880D18"/>
    <w:rsid w:val="34E06B1D"/>
    <w:rsid w:val="34FD51B3"/>
    <w:rsid w:val="37B13F46"/>
    <w:rsid w:val="385935CD"/>
    <w:rsid w:val="3A6F7E2D"/>
    <w:rsid w:val="3ABB227F"/>
    <w:rsid w:val="3C31041F"/>
    <w:rsid w:val="3D1928D1"/>
    <w:rsid w:val="3F41226C"/>
    <w:rsid w:val="41271A71"/>
    <w:rsid w:val="427D3EB0"/>
    <w:rsid w:val="44C01FE2"/>
    <w:rsid w:val="485E59E4"/>
    <w:rsid w:val="4A3C512E"/>
    <w:rsid w:val="4BE156B5"/>
    <w:rsid w:val="4EE80B08"/>
    <w:rsid w:val="50156850"/>
    <w:rsid w:val="50742555"/>
    <w:rsid w:val="52876BC7"/>
    <w:rsid w:val="530774AF"/>
    <w:rsid w:val="55A52421"/>
    <w:rsid w:val="579A3366"/>
    <w:rsid w:val="59502521"/>
    <w:rsid w:val="5B0842C5"/>
    <w:rsid w:val="5C036210"/>
    <w:rsid w:val="5CD53D97"/>
    <w:rsid w:val="5E5A7FB0"/>
    <w:rsid w:val="5EAE573F"/>
    <w:rsid w:val="5F171848"/>
    <w:rsid w:val="615B30D9"/>
    <w:rsid w:val="615C33BC"/>
    <w:rsid w:val="636D3049"/>
    <w:rsid w:val="654B6305"/>
    <w:rsid w:val="657514A4"/>
    <w:rsid w:val="693A7F09"/>
    <w:rsid w:val="6A894E1B"/>
    <w:rsid w:val="6AF272E7"/>
    <w:rsid w:val="6B861DFC"/>
    <w:rsid w:val="6C136138"/>
    <w:rsid w:val="6C414997"/>
    <w:rsid w:val="6C5C1EDC"/>
    <w:rsid w:val="6E5824A9"/>
    <w:rsid w:val="70DA5D7D"/>
    <w:rsid w:val="71FA105D"/>
    <w:rsid w:val="72E3010A"/>
    <w:rsid w:val="738B22F5"/>
    <w:rsid w:val="75153B55"/>
    <w:rsid w:val="7540409A"/>
    <w:rsid w:val="75FC26D7"/>
    <w:rsid w:val="78A417BB"/>
    <w:rsid w:val="7B7D3A13"/>
    <w:rsid w:val="7CAE74DB"/>
    <w:rsid w:val="7CCE6984"/>
    <w:rsid w:val="7D393C95"/>
    <w:rsid w:val="7D6D78F8"/>
    <w:rsid w:val="7DF2584A"/>
    <w:rsid w:val="7E7D63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link w:val="12"/>
    <w:autoRedefine/>
    <w:qFormat/>
    <w:uiPriority w:val="0"/>
    <w:pPr>
      <w:spacing w:before="0" w:beforeAutospacing="1" w:after="0" w:afterAutospacing="1"/>
      <w:jc w:val="left"/>
      <w:outlineLvl w:val="0"/>
    </w:pPr>
    <w:rPr>
      <w:rFonts w:hint="eastAsia" w:ascii="宋体" w:hAnsi="宋体" w:eastAsia="仿宋_GB2312" w:cs="宋体"/>
      <w:b/>
      <w:bCs/>
      <w:sz w:val="32"/>
      <w:szCs w:val="48"/>
      <w:lang w:bidi="ar"/>
    </w:rPr>
  </w:style>
  <w:style w:type="paragraph" w:styleId="3">
    <w:name w:val="heading 2"/>
    <w:basedOn w:val="1"/>
    <w:next w:val="1"/>
    <w:link w:val="13"/>
    <w:semiHidden/>
    <w:unhideWhenUsed/>
    <w:qFormat/>
    <w:uiPriority w:val="0"/>
    <w:pPr>
      <w:keepNext/>
      <w:adjustRightInd w:val="0"/>
      <w:snapToGrid w:val="0"/>
      <w:spacing w:line="360" w:lineRule="auto"/>
      <w:outlineLvl w:val="1"/>
    </w:pPr>
    <w:rPr>
      <w:rFonts w:ascii="黑体" w:hAnsi="黑体" w:cs="Times New Roman"/>
      <w:b/>
      <w:sz w:val="30"/>
      <w:szCs w:val="24"/>
    </w:rPr>
  </w:style>
  <w:style w:type="paragraph" w:styleId="4">
    <w:name w:val="heading 3"/>
    <w:basedOn w:val="1"/>
    <w:next w:val="1"/>
    <w:link w:val="14"/>
    <w:semiHidden/>
    <w:unhideWhenUsed/>
    <w:qFormat/>
    <w:uiPriority w:val="0"/>
    <w:pPr>
      <w:keepNext/>
      <w:keepLines/>
      <w:adjustRightInd w:val="0"/>
      <w:snapToGrid w:val="0"/>
      <w:spacing w:beforeLines="0" w:beforeAutospacing="0" w:afterLines="0" w:afterAutospacing="0" w:line="360" w:lineRule="auto"/>
      <w:outlineLvl w:val="2"/>
    </w:pPr>
    <w:rPr>
      <w:rFonts w:ascii="Calibri" w:hAnsi="Calibri" w:cs="Times New Roman"/>
      <w:b/>
      <w:sz w:val="24"/>
      <w:szCs w:val="24"/>
    </w:rPr>
  </w:style>
  <w:style w:type="paragraph" w:styleId="5">
    <w:name w:val="heading 4"/>
    <w:basedOn w:val="1"/>
    <w:next w:val="1"/>
    <w:semiHidden/>
    <w:unhideWhenUsed/>
    <w:qFormat/>
    <w:uiPriority w:val="0"/>
    <w:pPr>
      <w:keepNext/>
      <w:keepLines/>
      <w:adjustRightInd w:val="0"/>
      <w:snapToGrid w:val="0"/>
      <w:spacing w:beforeLines="0" w:beforeAutospacing="0" w:afterLines="0" w:afterAutospacing="0" w:line="300" w:lineRule="auto"/>
      <w:outlineLvl w:val="3"/>
    </w:pPr>
    <w:rPr>
      <w:rFonts w:ascii="Arial" w:hAnsi="Arial" w:cs="Times New Roman"/>
      <w:b/>
      <w:sz w:val="30"/>
      <w:szCs w:val="24"/>
    </w:rPr>
  </w:style>
  <w:style w:type="character" w:default="1" w:styleId="11">
    <w:name w:val="Default Paragraph Font"/>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6">
    <w:name w:val="Normal Indent"/>
    <w:basedOn w:val="1"/>
    <w:autoRedefine/>
    <w:qFormat/>
    <w:uiPriority w:val="0"/>
    <w:pPr>
      <w:ind w:firstLine="420" w:firstLineChars="200"/>
    </w:pPr>
  </w:style>
  <w:style w:type="paragraph" w:styleId="7">
    <w:name w:val="annotation text"/>
    <w:basedOn w:val="1"/>
    <w:qFormat/>
    <w:uiPriority w:val="0"/>
    <w:pPr>
      <w:jc w:val="left"/>
    </w:pPr>
  </w:style>
  <w:style w:type="paragraph" w:styleId="8">
    <w:name w:val="Body Text"/>
    <w:basedOn w:val="1"/>
    <w:next w:val="1"/>
    <w:autoRedefine/>
    <w:qFormat/>
    <w:uiPriority w:val="0"/>
    <w:pPr>
      <w:spacing w:after="120" w:afterLines="0" w:afterAutospacing="0"/>
    </w:p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2">
    <w:name w:val="标题 1 Char"/>
    <w:link w:val="2"/>
    <w:autoRedefine/>
    <w:qFormat/>
    <w:uiPriority w:val="0"/>
    <w:rPr>
      <w:rFonts w:ascii="宋体" w:hAnsi="宋体" w:eastAsia="仿宋_GB2312" w:cs="宋体"/>
      <w:b/>
      <w:bCs/>
      <w:snapToGrid w:val="0"/>
      <w:color w:val="000000"/>
      <w:spacing w:val="-4"/>
      <w:kern w:val="44"/>
      <w:sz w:val="32"/>
      <w:szCs w:val="24"/>
      <w:lang w:val="en-US" w:eastAsia="en-US" w:bidi="ar-SA"/>
    </w:rPr>
  </w:style>
  <w:style w:type="character" w:customStyle="1" w:styleId="13">
    <w:name w:val="标题 2 Char"/>
    <w:link w:val="3"/>
    <w:autoRedefine/>
    <w:qFormat/>
    <w:uiPriority w:val="0"/>
    <w:rPr>
      <w:rFonts w:ascii="Arial" w:hAnsi="Arial" w:eastAsia="仿宋_GB2312" w:cs="Times New Roman"/>
      <w:b/>
      <w:snapToGrid w:val="0"/>
      <w:color w:val="000000"/>
      <w:kern w:val="0"/>
      <w:sz w:val="30"/>
      <w:szCs w:val="24"/>
      <w:lang w:eastAsia="en-US"/>
    </w:rPr>
  </w:style>
  <w:style w:type="character" w:customStyle="1" w:styleId="14">
    <w:name w:val="标题 3 Char"/>
    <w:link w:val="4"/>
    <w:qFormat/>
    <w:uiPriority w:val="0"/>
    <w:rPr>
      <w:rFonts w:ascii="Calibri" w:hAnsi="Calibri" w:eastAsia="仿宋_GB2312" w:cs="Times New Roman"/>
      <w:b/>
      <w:bCs/>
      <w:sz w:val="24"/>
      <w:szCs w:val="24"/>
    </w:rPr>
  </w:style>
  <w:style w:type="paragraph" w:customStyle="1" w:styleId="15">
    <w:name w:val="Default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1990</Words>
  <Characters>2018</Characters>
  <Lines>0</Lines>
  <Paragraphs>0</Paragraphs>
  <TotalTime>0</TotalTime>
  <ScaleCrop>false</ScaleCrop>
  <LinksUpToDate>false</LinksUpToDate>
  <CharactersWithSpaces>2085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2025-12-11T08:04:00Z</dcterms:created>
  <dc:creator>华采</dc:creator>
  <cp:lastModifiedBy>陕西华采招标有限公司</cp:lastModifiedBy>
  <dcterms:modified xsi:type="dcterms:W3CDTF">2026-05-19T05:54:29Z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41E2F2879C164E7494BE5062E0439B8B_11</vt:lpwstr>
  </property>
  <property fmtid="{D5CDD505-2E9C-101B-9397-08002B2CF9AE}" pid="4" name="KSOTemplateDocerSaveRecord">
    <vt:lpwstr>eyJoZGlkIjoiNzlkYjQxZmY4MWQ0ZWY2YTZhOTY1MTMyMDgzMmE0NmEiLCJ1c2VySWQiOiI5MzY1NjA0ODAifQ==</vt:lpwstr>
  </property>
</Properties>
</file>