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E4CE9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（一）项目概况</w:t>
      </w:r>
    </w:p>
    <w:p w14:paraId="27D92E1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为西安石油大学地科院实验室仪器从雁塔校区搬迁至鄠邑校区。服务包含前期勘测建档、精密设备专业拆卸、多层级防震包装、跨校区密闭运输、校内上楼、就位安装、调试、管线复原、实验室封窗施工、仪器专用水电气路配套改造、施工垃圾清运、售后质保一体化全流程服务。</w:t>
      </w:r>
    </w:p>
    <w:p w14:paraId="758E1BA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1.项目总预算</w:t>
      </w:r>
    </w:p>
    <w:p w14:paraId="71B36E5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总预算人民币39.8万元，采用总价包干模式，报价包含人工、拆装耗材、包装、运输、上楼、安装、调试、管线改造、实验室封窗施工、仪器专用水电气路配套改造、垃圾清运、保险、税费、质保所有费用，采购人无需额外支付任何费用。</w:t>
      </w:r>
    </w:p>
    <w:p w14:paraId="7ED6526A">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2.工期要求</w:t>
      </w:r>
    </w:p>
    <w:p w14:paraId="37066E5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合同签订10日历天内全部完成拆卸、运输、安装、改造、调试全流程工作，设备精度恢复搬迁前标准，达到正常科研使用标准并完成整体验收交付。</w:t>
      </w:r>
    </w:p>
    <w:p w14:paraId="716D35E1">
      <w:pPr>
        <w:keepNext w:val="0"/>
        <w:keepLines w:val="0"/>
        <w:pageBreakBefore w:val="0"/>
        <w:numPr>
          <w:ilvl w:val="0"/>
          <w:numId w:val="1"/>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搬迁设备明细</w:t>
      </w:r>
    </w:p>
    <w:p w14:paraId="1CE88DCA">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需要搬迁仪器的详细信息如下表所示：</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505"/>
        <w:gridCol w:w="1686"/>
        <w:gridCol w:w="1350"/>
        <w:gridCol w:w="1356"/>
      </w:tblGrid>
      <w:tr w14:paraId="14A5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1020BC2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序号</w:t>
            </w:r>
          </w:p>
        </w:tc>
        <w:tc>
          <w:tcPr>
            <w:tcW w:w="1505" w:type="dxa"/>
          </w:tcPr>
          <w:p w14:paraId="122E8D3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仪器名称</w:t>
            </w:r>
          </w:p>
        </w:tc>
        <w:tc>
          <w:tcPr>
            <w:tcW w:w="1686" w:type="dxa"/>
            <w:shd w:val="clear" w:color="auto" w:fill="auto"/>
            <w:vAlign w:val="top"/>
          </w:tcPr>
          <w:p w14:paraId="5BD5D906">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品牌型号</w:t>
            </w:r>
          </w:p>
        </w:tc>
        <w:tc>
          <w:tcPr>
            <w:tcW w:w="1350" w:type="dxa"/>
          </w:tcPr>
          <w:p w14:paraId="6229AA90">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搬迁等级</w:t>
            </w:r>
          </w:p>
        </w:tc>
        <w:tc>
          <w:tcPr>
            <w:tcW w:w="1356" w:type="dxa"/>
          </w:tcPr>
          <w:p w14:paraId="5E53661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备注</w:t>
            </w:r>
          </w:p>
        </w:tc>
      </w:tr>
      <w:tr w14:paraId="27EB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008" w:type="dxa"/>
          </w:tcPr>
          <w:p w14:paraId="2B2776A7">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w:t>
            </w:r>
          </w:p>
        </w:tc>
        <w:tc>
          <w:tcPr>
            <w:tcW w:w="1505" w:type="dxa"/>
          </w:tcPr>
          <w:p w14:paraId="25392B73">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场发射电镜/能谱</w:t>
            </w:r>
          </w:p>
        </w:tc>
        <w:tc>
          <w:tcPr>
            <w:tcW w:w="1686" w:type="dxa"/>
            <w:shd w:val="clear" w:color="auto" w:fill="auto"/>
            <w:vAlign w:val="top"/>
          </w:tcPr>
          <w:p w14:paraId="2FD01FB1">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Tescan  MAIA3</w:t>
            </w:r>
          </w:p>
        </w:tc>
        <w:tc>
          <w:tcPr>
            <w:tcW w:w="1350" w:type="dxa"/>
          </w:tcPr>
          <w:p w14:paraId="175F44D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11D3BAD3">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各1套</w:t>
            </w:r>
          </w:p>
        </w:tc>
      </w:tr>
      <w:tr w14:paraId="3A4F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008" w:type="dxa"/>
          </w:tcPr>
          <w:p w14:paraId="0AEE622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w:t>
            </w:r>
          </w:p>
        </w:tc>
        <w:tc>
          <w:tcPr>
            <w:tcW w:w="1505" w:type="dxa"/>
          </w:tcPr>
          <w:p w14:paraId="1CD53EF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场发射电镜的前处理</w:t>
            </w:r>
          </w:p>
        </w:tc>
        <w:tc>
          <w:tcPr>
            <w:tcW w:w="1686" w:type="dxa"/>
          </w:tcPr>
          <w:p w14:paraId="412B401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4175BC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074EB1C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2台</w:t>
            </w:r>
          </w:p>
        </w:tc>
      </w:tr>
      <w:tr w14:paraId="73E3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008" w:type="dxa"/>
          </w:tcPr>
          <w:p w14:paraId="3D8E573E">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3</w:t>
            </w:r>
          </w:p>
        </w:tc>
        <w:tc>
          <w:tcPr>
            <w:tcW w:w="1505" w:type="dxa"/>
          </w:tcPr>
          <w:p w14:paraId="7FE1166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研究级显微镜</w:t>
            </w:r>
          </w:p>
        </w:tc>
        <w:tc>
          <w:tcPr>
            <w:tcW w:w="1686" w:type="dxa"/>
          </w:tcPr>
          <w:p w14:paraId="49F25F5B">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DM4500</w:t>
            </w:r>
          </w:p>
        </w:tc>
        <w:tc>
          <w:tcPr>
            <w:tcW w:w="1350" w:type="dxa"/>
            <w:shd w:val="clear" w:color="auto" w:fill="auto"/>
            <w:vAlign w:val="center"/>
          </w:tcPr>
          <w:p w14:paraId="1226A9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20A76E1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6台</w:t>
            </w:r>
          </w:p>
        </w:tc>
      </w:tr>
      <w:tr w14:paraId="7A07D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42C3A44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4</w:t>
            </w:r>
          </w:p>
        </w:tc>
        <w:tc>
          <w:tcPr>
            <w:tcW w:w="1505" w:type="dxa"/>
          </w:tcPr>
          <w:p w14:paraId="2A1A27D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激光拉曼仪</w:t>
            </w:r>
          </w:p>
        </w:tc>
        <w:tc>
          <w:tcPr>
            <w:tcW w:w="1686" w:type="dxa"/>
          </w:tcPr>
          <w:p w14:paraId="25EAB94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inViaReflex</w:t>
            </w:r>
          </w:p>
        </w:tc>
        <w:tc>
          <w:tcPr>
            <w:tcW w:w="1350" w:type="dxa"/>
            <w:shd w:val="clear" w:color="auto" w:fill="auto"/>
            <w:vAlign w:val="center"/>
          </w:tcPr>
          <w:p w14:paraId="13F506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03BFDBA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0BD1E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3CB83170">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5</w:t>
            </w:r>
          </w:p>
        </w:tc>
        <w:tc>
          <w:tcPr>
            <w:tcW w:w="1505" w:type="dxa"/>
          </w:tcPr>
          <w:p w14:paraId="7F97A2EE">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脉冲渗透率仪</w:t>
            </w:r>
          </w:p>
        </w:tc>
        <w:tc>
          <w:tcPr>
            <w:tcW w:w="1686" w:type="dxa"/>
          </w:tcPr>
          <w:p w14:paraId="4FA2C927">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PDP-200</w:t>
            </w:r>
          </w:p>
        </w:tc>
        <w:tc>
          <w:tcPr>
            <w:tcW w:w="1350" w:type="dxa"/>
            <w:shd w:val="clear" w:color="auto" w:fill="auto"/>
            <w:vAlign w:val="center"/>
          </w:tcPr>
          <w:p w14:paraId="055B51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0501CFB7">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1AC1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1BF326A3">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6</w:t>
            </w:r>
          </w:p>
        </w:tc>
        <w:tc>
          <w:tcPr>
            <w:tcW w:w="1505" w:type="dxa"/>
          </w:tcPr>
          <w:p w14:paraId="26E16D93">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等温吸附仪</w:t>
            </w:r>
          </w:p>
        </w:tc>
        <w:tc>
          <w:tcPr>
            <w:tcW w:w="1686" w:type="dxa"/>
          </w:tcPr>
          <w:p w14:paraId="72CDB95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美国康塔Quadrasorb evo-4</w:t>
            </w:r>
          </w:p>
        </w:tc>
        <w:tc>
          <w:tcPr>
            <w:tcW w:w="1350" w:type="dxa"/>
            <w:shd w:val="clear" w:color="auto" w:fill="auto"/>
            <w:vAlign w:val="center"/>
          </w:tcPr>
          <w:p w14:paraId="307B93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4CBF0587">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1台</w:t>
            </w:r>
          </w:p>
        </w:tc>
      </w:tr>
      <w:tr w14:paraId="26BA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61B391D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7</w:t>
            </w:r>
          </w:p>
        </w:tc>
        <w:tc>
          <w:tcPr>
            <w:tcW w:w="1505" w:type="dxa"/>
          </w:tcPr>
          <w:p w14:paraId="3320A1B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元素分析仪</w:t>
            </w:r>
          </w:p>
        </w:tc>
        <w:tc>
          <w:tcPr>
            <w:tcW w:w="1686" w:type="dxa"/>
          </w:tcPr>
          <w:p w14:paraId="39EC173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德国元素</w:t>
            </w:r>
          </w:p>
        </w:tc>
        <w:tc>
          <w:tcPr>
            <w:tcW w:w="1350" w:type="dxa"/>
            <w:shd w:val="clear" w:color="auto" w:fill="auto"/>
            <w:vAlign w:val="center"/>
          </w:tcPr>
          <w:p w14:paraId="1EB23D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03543A0E">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1台</w:t>
            </w:r>
          </w:p>
        </w:tc>
      </w:tr>
      <w:tr w14:paraId="11A28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44E5EE8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8</w:t>
            </w:r>
          </w:p>
        </w:tc>
        <w:tc>
          <w:tcPr>
            <w:tcW w:w="1505" w:type="dxa"/>
          </w:tcPr>
          <w:p w14:paraId="33BB90F9">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抽提仪</w:t>
            </w:r>
          </w:p>
        </w:tc>
        <w:tc>
          <w:tcPr>
            <w:tcW w:w="1686" w:type="dxa"/>
          </w:tcPr>
          <w:p w14:paraId="051EE37E">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3FF3DF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55C9B180">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2台</w:t>
            </w:r>
          </w:p>
        </w:tc>
      </w:tr>
      <w:tr w14:paraId="6F73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6EF9BB0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9</w:t>
            </w:r>
          </w:p>
        </w:tc>
        <w:tc>
          <w:tcPr>
            <w:tcW w:w="1505" w:type="dxa"/>
          </w:tcPr>
          <w:p w14:paraId="37480AC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百万分之一天平</w:t>
            </w:r>
          </w:p>
        </w:tc>
        <w:tc>
          <w:tcPr>
            <w:tcW w:w="1686" w:type="dxa"/>
          </w:tcPr>
          <w:p w14:paraId="0172B35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4371C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70A98B1B">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2套</w:t>
            </w:r>
          </w:p>
        </w:tc>
      </w:tr>
      <w:tr w14:paraId="4739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2321D3B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10</w:t>
            </w:r>
          </w:p>
        </w:tc>
        <w:tc>
          <w:tcPr>
            <w:tcW w:w="1505" w:type="dxa"/>
          </w:tcPr>
          <w:p w14:paraId="2E0EB82E">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显微冷热台</w:t>
            </w:r>
          </w:p>
        </w:tc>
        <w:tc>
          <w:tcPr>
            <w:tcW w:w="1686" w:type="dxa"/>
          </w:tcPr>
          <w:p w14:paraId="3A14AF5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GP600</w:t>
            </w:r>
          </w:p>
        </w:tc>
        <w:tc>
          <w:tcPr>
            <w:tcW w:w="1350" w:type="dxa"/>
            <w:shd w:val="clear" w:color="auto" w:fill="auto"/>
            <w:vAlign w:val="center"/>
          </w:tcPr>
          <w:p w14:paraId="765D8C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67D47A1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252EF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3C93A47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11</w:t>
            </w:r>
          </w:p>
        </w:tc>
        <w:tc>
          <w:tcPr>
            <w:tcW w:w="1505" w:type="dxa"/>
          </w:tcPr>
          <w:p w14:paraId="0138119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阴极发光仪</w:t>
            </w:r>
          </w:p>
        </w:tc>
        <w:tc>
          <w:tcPr>
            <w:tcW w:w="1686" w:type="dxa"/>
          </w:tcPr>
          <w:p w14:paraId="5151320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RelionIIICL</w:t>
            </w:r>
          </w:p>
        </w:tc>
        <w:tc>
          <w:tcPr>
            <w:tcW w:w="1350" w:type="dxa"/>
            <w:shd w:val="clear" w:color="auto" w:fill="auto"/>
            <w:vAlign w:val="center"/>
          </w:tcPr>
          <w:p w14:paraId="6C2111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3C55489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4004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16DE2CA9">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12</w:t>
            </w:r>
          </w:p>
        </w:tc>
        <w:tc>
          <w:tcPr>
            <w:tcW w:w="1505" w:type="dxa"/>
          </w:tcPr>
          <w:p w14:paraId="6482CE4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激光共聚焦仪</w:t>
            </w:r>
          </w:p>
        </w:tc>
        <w:tc>
          <w:tcPr>
            <w:tcW w:w="1686" w:type="dxa"/>
          </w:tcPr>
          <w:p w14:paraId="232D527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LEICA SP8</w:t>
            </w:r>
          </w:p>
        </w:tc>
        <w:tc>
          <w:tcPr>
            <w:tcW w:w="1350" w:type="dxa"/>
            <w:shd w:val="clear" w:color="auto" w:fill="auto"/>
            <w:vAlign w:val="center"/>
          </w:tcPr>
          <w:p w14:paraId="2975C6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232CBD4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3DAB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27CE8B6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13</w:t>
            </w:r>
          </w:p>
        </w:tc>
        <w:tc>
          <w:tcPr>
            <w:tcW w:w="1505" w:type="dxa"/>
          </w:tcPr>
          <w:p w14:paraId="1227353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覆压孔渗仪</w:t>
            </w:r>
          </w:p>
        </w:tc>
        <w:tc>
          <w:tcPr>
            <w:tcW w:w="1686" w:type="dxa"/>
          </w:tcPr>
          <w:p w14:paraId="09A1D01E">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CMS-300</w:t>
            </w:r>
          </w:p>
        </w:tc>
        <w:tc>
          <w:tcPr>
            <w:tcW w:w="1350" w:type="dxa"/>
            <w:shd w:val="clear" w:color="auto" w:fill="auto"/>
            <w:vAlign w:val="center"/>
          </w:tcPr>
          <w:p w14:paraId="6764B8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16D9128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7797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540AD6E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14</w:t>
            </w:r>
          </w:p>
        </w:tc>
        <w:tc>
          <w:tcPr>
            <w:tcW w:w="1505" w:type="dxa"/>
          </w:tcPr>
          <w:p w14:paraId="33A1927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岩电系统</w:t>
            </w:r>
          </w:p>
        </w:tc>
        <w:tc>
          <w:tcPr>
            <w:tcW w:w="1686" w:type="dxa"/>
          </w:tcPr>
          <w:p w14:paraId="48395EB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SCMS-H型</w:t>
            </w:r>
          </w:p>
        </w:tc>
        <w:tc>
          <w:tcPr>
            <w:tcW w:w="1350" w:type="dxa"/>
            <w:shd w:val="clear" w:color="auto" w:fill="auto"/>
            <w:vAlign w:val="center"/>
          </w:tcPr>
          <w:p w14:paraId="0DE481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37A10FF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120D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401C247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15</w:t>
            </w:r>
          </w:p>
        </w:tc>
        <w:tc>
          <w:tcPr>
            <w:tcW w:w="1505" w:type="dxa"/>
          </w:tcPr>
          <w:p w14:paraId="3CE2242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成藏模拟仪</w:t>
            </w:r>
          </w:p>
        </w:tc>
        <w:tc>
          <w:tcPr>
            <w:tcW w:w="1686" w:type="dxa"/>
          </w:tcPr>
          <w:p w14:paraId="0591AB1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HBYQ-VI型</w:t>
            </w:r>
          </w:p>
        </w:tc>
        <w:tc>
          <w:tcPr>
            <w:tcW w:w="1350" w:type="dxa"/>
            <w:shd w:val="clear" w:color="auto" w:fill="auto"/>
            <w:vAlign w:val="center"/>
          </w:tcPr>
          <w:p w14:paraId="590E6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0097FD9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677C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427B2ED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16</w:t>
            </w:r>
          </w:p>
        </w:tc>
        <w:tc>
          <w:tcPr>
            <w:tcW w:w="1505" w:type="dxa"/>
          </w:tcPr>
          <w:p w14:paraId="23E2AD4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压汞仪</w:t>
            </w:r>
          </w:p>
        </w:tc>
        <w:tc>
          <w:tcPr>
            <w:tcW w:w="1686" w:type="dxa"/>
          </w:tcPr>
          <w:p w14:paraId="01546AD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美国康塔PoreMaster33、美国康塔AutoPoreIV9500</w:t>
            </w:r>
          </w:p>
        </w:tc>
        <w:tc>
          <w:tcPr>
            <w:tcW w:w="1350" w:type="dxa"/>
            <w:shd w:val="clear" w:color="auto" w:fill="auto"/>
            <w:vAlign w:val="center"/>
          </w:tcPr>
          <w:p w14:paraId="34203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C</w:t>
            </w:r>
          </w:p>
        </w:tc>
        <w:tc>
          <w:tcPr>
            <w:tcW w:w="1356" w:type="dxa"/>
          </w:tcPr>
          <w:p w14:paraId="16D9046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2台</w:t>
            </w:r>
          </w:p>
        </w:tc>
      </w:tr>
      <w:tr w14:paraId="5AC0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01C9455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17</w:t>
            </w:r>
          </w:p>
        </w:tc>
        <w:tc>
          <w:tcPr>
            <w:tcW w:w="1505" w:type="dxa"/>
          </w:tcPr>
          <w:p w14:paraId="07683B3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色质联用仪</w:t>
            </w:r>
          </w:p>
        </w:tc>
        <w:tc>
          <w:tcPr>
            <w:tcW w:w="1686" w:type="dxa"/>
          </w:tcPr>
          <w:p w14:paraId="71A40C5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7890A-5975C</w:t>
            </w:r>
          </w:p>
        </w:tc>
        <w:tc>
          <w:tcPr>
            <w:tcW w:w="1350" w:type="dxa"/>
            <w:shd w:val="clear" w:color="auto" w:fill="auto"/>
            <w:vAlign w:val="center"/>
          </w:tcPr>
          <w:p w14:paraId="4DADA2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54B5871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3DCD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1D8DC15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18</w:t>
            </w:r>
          </w:p>
        </w:tc>
        <w:tc>
          <w:tcPr>
            <w:tcW w:w="1505" w:type="dxa"/>
          </w:tcPr>
          <w:p w14:paraId="10FC0D79">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气相色谱仪</w:t>
            </w:r>
          </w:p>
        </w:tc>
        <w:tc>
          <w:tcPr>
            <w:tcW w:w="1686" w:type="dxa"/>
          </w:tcPr>
          <w:p w14:paraId="547A23A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美国HP公司7890A</w:t>
            </w:r>
          </w:p>
        </w:tc>
        <w:tc>
          <w:tcPr>
            <w:tcW w:w="1350" w:type="dxa"/>
            <w:shd w:val="clear" w:color="auto" w:fill="auto"/>
            <w:vAlign w:val="center"/>
          </w:tcPr>
          <w:p w14:paraId="65CC8F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104EEC8F">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373D7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6851357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19</w:t>
            </w:r>
          </w:p>
        </w:tc>
        <w:tc>
          <w:tcPr>
            <w:tcW w:w="1505" w:type="dxa"/>
          </w:tcPr>
          <w:p w14:paraId="35A5580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稳定同位素仪</w:t>
            </w:r>
          </w:p>
        </w:tc>
        <w:tc>
          <w:tcPr>
            <w:tcW w:w="1686" w:type="dxa"/>
          </w:tcPr>
          <w:p w14:paraId="00CEA1F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德国Isoprime</w:t>
            </w:r>
          </w:p>
        </w:tc>
        <w:tc>
          <w:tcPr>
            <w:tcW w:w="1350" w:type="dxa"/>
            <w:shd w:val="clear" w:color="auto" w:fill="auto"/>
            <w:vAlign w:val="center"/>
          </w:tcPr>
          <w:p w14:paraId="7640CE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47D286E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4E65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63B1C85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20</w:t>
            </w:r>
          </w:p>
        </w:tc>
        <w:tc>
          <w:tcPr>
            <w:tcW w:w="1505" w:type="dxa"/>
          </w:tcPr>
          <w:p w14:paraId="09107E2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有机碳分析仪</w:t>
            </w:r>
          </w:p>
        </w:tc>
        <w:tc>
          <w:tcPr>
            <w:tcW w:w="1686" w:type="dxa"/>
          </w:tcPr>
          <w:p w14:paraId="264DDEC4">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CS-2001HF</w:t>
            </w:r>
          </w:p>
        </w:tc>
        <w:tc>
          <w:tcPr>
            <w:tcW w:w="1350" w:type="dxa"/>
            <w:shd w:val="clear" w:color="auto" w:fill="auto"/>
            <w:vAlign w:val="center"/>
          </w:tcPr>
          <w:p w14:paraId="15843C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0245749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6885E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4219EC9A">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21</w:t>
            </w:r>
          </w:p>
        </w:tc>
        <w:tc>
          <w:tcPr>
            <w:tcW w:w="1505" w:type="dxa"/>
          </w:tcPr>
          <w:p w14:paraId="3D679CC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岩土动三轴仪</w:t>
            </w:r>
          </w:p>
        </w:tc>
        <w:tc>
          <w:tcPr>
            <w:tcW w:w="1686" w:type="dxa"/>
          </w:tcPr>
          <w:p w14:paraId="2A51C107">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DYNTTS/STDDPC V3</w:t>
            </w:r>
          </w:p>
        </w:tc>
        <w:tc>
          <w:tcPr>
            <w:tcW w:w="1350" w:type="dxa"/>
            <w:shd w:val="clear" w:color="auto" w:fill="auto"/>
            <w:vAlign w:val="center"/>
          </w:tcPr>
          <w:p w14:paraId="0C63F7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4439FA2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240B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084B60D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22</w:t>
            </w:r>
          </w:p>
        </w:tc>
        <w:tc>
          <w:tcPr>
            <w:tcW w:w="1505" w:type="dxa"/>
          </w:tcPr>
          <w:p w14:paraId="776C0BD2">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岩土静三轴仪</w:t>
            </w:r>
          </w:p>
        </w:tc>
        <w:tc>
          <w:tcPr>
            <w:tcW w:w="1686" w:type="dxa"/>
          </w:tcPr>
          <w:p w14:paraId="459FFC9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UNSAT/STDDPC V2</w:t>
            </w:r>
          </w:p>
        </w:tc>
        <w:tc>
          <w:tcPr>
            <w:tcW w:w="1350" w:type="dxa"/>
            <w:shd w:val="clear" w:color="auto" w:fill="auto"/>
            <w:vAlign w:val="center"/>
          </w:tcPr>
          <w:p w14:paraId="318747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A</w:t>
            </w:r>
          </w:p>
        </w:tc>
        <w:tc>
          <w:tcPr>
            <w:tcW w:w="1356" w:type="dxa"/>
          </w:tcPr>
          <w:p w14:paraId="679C6D2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1套</w:t>
            </w:r>
          </w:p>
        </w:tc>
      </w:tr>
      <w:tr w14:paraId="02714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7DA0489F">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23</w:t>
            </w:r>
          </w:p>
        </w:tc>
        <w:tc>
          <w:tcPr>
            <w:tcW w:w="1505" w:type="dxa"/>
          </w:tcPr>
          <w:p w14:paraId="021276C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钻样机</w:t>
            </w:r>
          </w:p>
        </w:tc>
        <w:tc>
          <w:tcPr>
            <w:tcW w:w="1686" w:type="dxa"/>
          </w:tcPr>
          <w:p w14:paraId="76A9ADF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230C04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411ECBC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1台</w:t>
            </w:r>
          </w:p>
        </w:tc>
      </w:tr>
      <w:tr w14:paraId="052AB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7A9E9D73">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24</w:t>
            </w:r>
          </w:p>
        </w:tc>
        <w:tc>
          <w:tcPr>
            <w:tcW w:w="1505" w:type="dxa"/>
          </w:tcPr>
          <w:p w14:paraId="29765E58">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切样机</w:t>
            </w:r>
          </w:p>
        </w:tc>
        <w:tc>
          <w:tcPr>
            <w:tcW w:w="1686" w:type="dxa"/>
          </w:tcPr>
          <w:p w14:paraId="06DF342F">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7C1EE1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2E21512F">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4台</w:t>
            </w:r>
          </w:p>
        </w:tc>
      </w:tr>
      <w:tr w14:paraId="5531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57DC9740">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25</w:t>
            </w:r>
          </w:p>
        </w:tc>
        <w:tc>
          <w:tcPr>
            <w:tcW w:w="1505" w:type="dxa"/>
          </w:tcPr>
          <w:p w14:paraId="0761EE77">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通风橱</w:t>
            </w:r>
          </w:p>
        </w:tc>
        <w:tc>
          <w:tcPr>
            <w:tcW w:w="1686" w:type="dxa"/>
          </w:tcPr>
          <w:p w14:paraId="30D22E86">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67FCB9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B</w:t>
            </w:r>
          </w:p>
        </w:tc>
        <w:tc>
          <w:tcPr>
            <w:tcW w:w="1356" w:type="dxa"/>
          </w:tcPr>
          <w:p w14:paraId="0B4803E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5个</w:t>
            </w:r>
          </w:p>
        </w:tc>
      </w:tr>
      <w:tr w14:paraId="13E7A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08" w:type="dxa"/>
          </w:tcPr>
          <w:p w14:paraId="61A5E16B">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26</w:t>
            </w:r>
          </w:p>
        </w:tc>
        <w:tc>
          <w:tcPr>
            <w:tcW w:w="1505" w:type="dxa"/>
          </w:tcPr>
          <w:p w14:paraId="51EBBF9D">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气瓶</w:t>
            </w:r>
          </w:p>
        </w:tc>
        <w:tc>
          <w:tcPr>
            <w:tcW w:w="1686" w:type="dxa"/>
          </w:tcPr>
          <w:p w14:paraId="6C733E9C">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p>
        </w:tc>
        <w:tc>
          <w:tcPr>
            <w:tcW w:w="1350" w:type="dxa"/>
            <w:shd w:val="clear" w:color="auto" w:fill="auto"/>
            <w:vAlign w:val="center"/>
          </w:tcPr>
          <w:p w14:paraId="21D1B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D</w:t>
            </w:r>
          </w:p>
        </w:tc>
        <w:tc>
          <w:tcPr>
            <w:tcW w:w="1356" w:type="dxa"/>
          </w:tcPr>
          <w:p w14:paraId="6DF694D5">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val="en-US" w:eastAsia="zh-CN"/>
              </w:rPr>
              <w:t>15个</w:t>
            </w:r>
          </w:p>
        </w:tc>
      </w:tr>
    </w:tbl>
    <w:p w14:paraId="4AAD95FD">
      <w:pPr>
        <w:widowControl/>
        <w:autoSpaceDE w:val="0"/>
        <w:autoSpaceDN w:val="0"/>
        <w:spacing w:line="360" w:lineRule="auto"/>
        <w:ind w:firstLine="480" w:firstLineChars="200"/>
        <w:jc w:val="left"/>
        <w:rPr>
          <w:rFonts w:hint="eastAsia" w:ascii="宋体" w:hAnsi="宋体" w:eastAsia="宋体" w:cs="宋体"/>
          <w:color w:val="auto"/>
          <w:kern w:val="0"/>
          <w:sz w:val="24"/>
          <w:szCs w:val="21"/>
          <w:highlight w:val="none"/>
          <w:lang w:val="zh-CN"/>
        </w:rPr>
      </w:pPr>
      <w:r>
        <w:rPr>
          <w:rFonts w:hint="eastAsia" w:ascii="宋体" w:hAnsi="宋体" w:eastAsia="宋体" w:cs="宋体"/>
          <w:color w:val="auto"/>
          <w:kern w:val="0"/>
          <w:sz w:val="24"/>
          <w:szCs w:val="21"/>
          <w:highlight w:val="none"/>
          <w:lang w:val="zh-CN"/>
        </w:rPr>
        <w:t>分类规则如下表。</w:t>
      </w:r>
    </w:p>
    <w:p w14:paraId="5463526E">
      <w:pPr>
        <w:widowControl/>
        <w:autoSpaceDE w:val="0"/>
        <w:autoSpaceDN w:val="0"/>
        <w:spacing w:line="360" w:lineRule="auto"/>
        <w:jc w:val="center"/>
        <w:rPr>
          <w:rFonts w:hint="eastAsia" w:ascii="宋体" w:hAnsi="宋体" w:eastAsia="宋体" w:cs="宋体"/>
          <w:b/>
          <w:color w:val="auto"/>
          <w:kern w:val="0"/>
          <w:sz w:val="24"/>
          <w:szCs w:val="21"/>
          <w:highlight w:val="none"/>
          <w:lang w:val="zh-CN" w:eastAsia="en-US"/>
        </w:rPr>
      </w:pPr>
      <w:r>
        <w:rPr>
          <w:rFonts w:hint="eastAsia" w:ascii="宋体" w:hAnsi="宋体" w:eastAsia="宋体" w:cs="宋体"/>
          <w:b/>
          <w:color w:val="auto"/>
          <w:kern w:val="0"/>
          <w:sz w:val="24"/>
          <w:szCs w:val="21"/>
          <w:highlight w:val="none"/>
          <w:lang w:val="zh-CN" w:eastAsia="en-US"/>
        </w:rPr>
        <w:t>设备及物品分</w:t>
      </w:r>
      <w:r>
        <w:rPr>
          <w:rFonts w:hint="eastAsia" w:ascii="宋体" w:hAnsi="宋体" w:eastAsia="宋体" w:cs="宋体"/>
          <w:b/>
          <w:color w:val="auto"/>
          <w:kern w:val="0"/>
          <w:sz w:val="24"/>
          <w:szCs w:val="21"/>
          <w:highlight w:val="none"/>
        </w:rPr>
        <w:t>级</w:t>
      </w:r>
      <w:r>
        <w:rPr>
          <w:rFonts w:hint="eastAsia" w:ascii="宋体" w:hAnsi="宋体" w:eastAsia="宋体" w:cs="宋体"/>
          <w:b/>
          <w:color w:val="auto"/>
          <w:kern w:val="0"/>
          <w:sz w:val="24"/>
          <w:szCs w:val="21"/>
          <w:highlight w:val="none"/>
          <w:lang w:val="zh-CN" w:eastAsia="en-US"/>
        </w:rPr>
        <w:t>表</w:t>
      </w:r>
    </w:p>
    <w:tbl>
      <w:tblPr>
        <w:tblStyle w:val="2"/>
        <w:tblW w:w="68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6015"/>
      </w:tblGrid>
      <w:tr w14:paraId="6DCE9E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04" w:type="dxa"/>
            <w:vAlign w:val="center"/>
          </w:tcPr>
          <w:p w14:paraId="5E882D62">
            <w:pPr>
              <w:keepNext w:val="0"/>
              <w:keepLines w:val="0"/>
              <w:suppressLineNumbers w:val="0"/>
              <w:spacing w:before="0" w:beforeAutospacing="0" w:after="0" w:afterAutospacing="0" w:line="360" w:lineRule="auto"/>
              <w:ind w:left="0" w:leftChars="0" w:right="0" w:firstLine="0" w:firstLineChars="0"/>
              <w:jc w:val="center"/>
              <w:rPr>
                <w:rFonts w:hint="eastAsia" w:ascii="宋体" w:hAnsi="宋体" w:eastAsia="宋体" w:cs="宋体"/>
                <w:b/>
                <w:color w:val="auto"/>
                <w:kern w:val="0"/>
                <w:sz w:val="21"/>
                <w:szCs w:val="21"/>
                <w:highlight w:val="none"/>
                <w:lang w:eastAsia="en-US"/>
              </w:rPr>
            </w:pPr>
            <w:r>
              <w:rPr>
                <w:rFonts w:hint="eastAsia" w:ascii="宋体" w:hAnsi="宋体" w:eastAsia="宋体" w:cs="宋体"/>
                <w:b/>
                <w:color w:val="auto"/>
                <w:kern w:val="0"/>
                <w:sz w:val="21"/>
                <w:szCs w:val="21"/>
                <w:highlight w:val="none"/>
                <w:lang w:eastAsia="en-US"/>
              </w:rPr>
              <w:t>分类</w:t>
            </w:r>
          </w:p>
        </w:tc>
        <w:tc>
          <w:tcPr>
            <w:tcW w:w="6015" w:type="dxa"/>
            <w:vAlign w:val="center"/>
          </w:tcPr>
          <w:p w14:paraId="60C764B7">
            <w:pPr>
              <w:keepNext w:val="0"/>
              <w:keepLines w:val="0"/>
              <w:suppressLineNumbers w:val="0"/>
              <w:spacing w:before="0" w:beforeAutospacing="0" w:after="0" w:afterAutospacing="0" w:line="360" w:lineRule="auto"/>
              <w:ind w:left="0" w:leftChars="0" w:right="0"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要求</w:t>
            </w:r>
          </w:p>
        </w:tc>
      </w:tr>
      <w:tr w14:paraId="0FD26D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04" w:type="dxa"/>
            <w:vAlign w:val="center"/>
          </w:tcPr>
          <w:p w14:paraId="0236D0B8">
            <w:pPr>
              <w:keepNext w:val="0"/>
              <w:keepLines w:val="0"/>
              <w:suppressLineNumbers w:val="0"/>
              <w:autoSpaceDE w:val="0"/>
              <w:autoSpaceDN w:val="0"/>
              <w:adjustRightInd w:val="0"/>
              <w:spacing w:before="0" w:beforeAutospacing="0" w:after="0" w:afterAutospacing="0" w:line="360" w:lineRule="auto"/>
              <w:ind w:left="0" w:leftChars="0" w:right="0" w:firstLine="0" w:firstLineChars="0"/>
              <w:jc w:val="center"/>
              <w:rPr>
                <w:rFonts w:hint="eastAsia" w:ascii="宋体" w:hAnsi="宋体" w:eastAsia="宋体" w:cs="宋体"/>
                <w:color w:val="auto"/>
                <w:kern w:val="0"/>
                <w:sz w:val="21"/>
                <w:szCs w:val="21"/>
                <w:highlight w:val="none"/>
                <w:lang w:val="zh-CN" w:eastAsia="en-US"/>
              </w:rPr>
            </w:pPr>
            <w:r>
              <w:rPr>
                <w:rFonts w:hint="eastAsia" w:ascii="宋体" w:hAnsi="宋体" w:eastAsia="宋体" w:cs="宋体"/>
                <w:color w:val="auto"/>
                <w:kern w:val="0"/>
                <w:sz w:val="21"/>
                <w:szCs w:val="21"/>
                <w:highlight w:val="none"/>
                <w:lang w:val="en-US" w:eastAsia="zh-CN"/>
              </w:rPr>
              <w:t>A</w:t>
            </w:r>
            <w:r>
              <w:rPr>
                <w:rFonts w:hint="eastAsia" w:ascii="宋体" w:hAnsi="宋体" w:eastAsia="宋体" w:cs="宋体"/>
                <w:color w:val="auto"/>
                <w:kern w:val="0"/>
                <w:sz w:val="21"/>
                <w:szCs w:val="21"/>
                <w:highlight w:val="none"/>
                <w:lang w:val="zh-CN" w:eastAsia="en-US"/>
              </w:rPr>
              <w:t>级</w:t>
            </w:r>
          </w:p>
        </w:tc>
        <w:tc>
          <w:tcPr>
            <w:tcW w:w="6015" w:type="dxa"/>
            <w:vAlign w:val="center"/>
          </w:tcPr>
          <w:p w14:paraId="4A0CEE83">
            <w:pPr>
              <w:keepNext w:val="0"/>
              <w:keepLines w:val="0"/>
              <w:suppressLineNumbers w:val="0"/>
              <w:autoSpaceDE w:val="0"/>
              <w:autoSpaceDN w:val="0"/>
              <w:adjustRightInd w:val="0"/>
              <w:spacing w:before="0" w:beforeAutospacing="0" w:after="0" w:afterAutospacing="0" w:line="36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仪器设备必须</w:t>
            </w:r>
            <w:r>
              <w:rPr>
                <w:rFonts w:hint="eastAsia" w:ascii="宋体" w:hAnsi="宋体" w:eastAsia="宋体" w:cs="宋体"/>
                <w:color w:val="auto"/>
                <w:kern w:val="0"/>
                <w:sz w:val="21"/>
                <w:szCs w:val="21"/>
                <w:highlight w:val="none"/>
              </w:rPr>
              <w:t>由具备同类设备搬迁经验</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专业技术人员现场指导搬迁。搬迁前，</w:t>
            </w:r>
            <w:r>
              <w:rPr>
                <w:rFonts w:hint="eastAsia" w:ascii="宋体" w:hAnsi="宋体" w:eastAsia="宋体" w:cs="宋体"/>
                <w:color w:val="auto"/>
                <w:kern w:val="0"/>
                <w:sz w:val="21"/>
                <w:szCs w:val="21"/>
                <w:highlight w:val="none"/>
                <w:lang w:val="zh-CN"/>
              </w:rPr>
              <w:t>设备由采购人、中标人技术人员</w:t>
            </w:r>
            <w:r>
              <w:rPr>
                <w:rFonts w:hint="eastAsia" w:ascii="宋体" w:hAnsi="宋体" w:eastAsia="宋体" w:cs="宋体"/>
                <w:color w:val="auto"/>
                <w:kern w:val="0"/>
                <w:sz w:val="21"/>
                <w:szCs w:val="21"/>
                <w:highlight w:val="none"/>
                <w:lang w:val="en-US" w:eastAsia="zh-CN"/>
              </w:rPr>
              <w:t>双</w:t>
            </w:r>
            <w:r>
              <w:rPr>
                <w:rFonts w:hint="eastAsia" w:ascii="宋体" w:hAnsi="宋体" w:eastAsia="宋体" w:cs="宋体"/>
                <w:color w:val="auto"/>
                <w:kern w:val="0"/>
                <w:sz w:val="21"/>
                <w:szCs w:val="21"/>
                <w:highlight w:val="none"/>
                <w:lang w:val="zh-CN"/>
              </w:rPr>
              <w:t>方共同确认仪器设备原有状态，</w:t>
            </w:r>
            <w:r>
              <w:rPr>
                <w:rFonts w:hint="eastAsia" w:ascii="宋体" w:hAnsi="宋体" w:eastAsia="宋体" w:cs="宋体"/>
                <w:color w:val="auto"/>
                <w:kern w:val="0"/>
                <w:sz w:val="21"/>
                <w:szCs w:val="21"/>
                <w:highlight w:val="none"/>
              </w:rPr>
              <w:t>出具仪器性能技术报告。</w:t>
            </w:r>
            <w:r>
              <w:rPr>
                <w:rFonts w:hint="eastAsia" w:ascii="宋体" w:hAnsi="宋体" w:eastAsia="宋体" w:cs="宋体"/>
                <w:color w:val="auto"/>
                <w:kern w:val="0"/>
                <w:sz w:val="21"/>
                <w:szCs w:val="21"/>
                <w:highlight w:val="none"/>
                <w:lang w:val="zh-CN"/>
              </w:rPr>
              <w:t>搬迁到位调试完成后，再次进行测试，由采购人、中标人技术人员</w:t>
            </w:r>
            <w:r>
              <w:rPr>
                <w:rFonts w:hint="eastAsia" w:ascii="宋体" w:hAnsi="宋体" w:eastAsia="宋体" w:cs="宋体"/>
                <w:color w:val="auto"/>
                <w:kern w:val="0"/>
                <w:sz w:val="21"/>
                <w:szCs w:val="21"/>
                <w:highlight w:val="none"/>
                <w:lang w:val="en-US" w:eastAsia="zh-CN"/>
              </w:rPr>
              <w:t>双</w:t>
            </w:r>
            <w:r>
              <w:rPr>
                <w:rFonts w:hint="eastAsia" w:ascii="宋体" w:hAnsi="宋体" w:eastAsia="宋体" w:cs="宋体"/>
                <w:color w:val="auto"/>
                <w:kern w:val="0"/>
                <w:sz w:val="21"/>
                <w:szCs w:val="21"/>
                <w:highlight w:val="none"/>
                <w:lang w:val="zh-CN"/>
              </w:rPr>
              <w:t>方共同确认仪器设备状态不低于拆机前的状态。典型如</w:t>
            </w:r>
            <w:r>
              <w:rPr>
                <w:rFonts w:hint="eastAsia" w:ascii="宋体" w:hAnsi="宋体" w:eastAsia="宋体" w:cs="宋体"/>
                <w:color w:val="auto"/>
                <w:kern w:val="0"/>
                <w:sz w:val="21"/>
                <w:szCs w:val="21"/>
                <w:highlight w:val="none"/>
                <w:lang w:val="en-US" w:eastAsia="zh-CN"/>
              </w:rPr>
              <w:t>电镜、激光拉曼仪、</w:t>
            </w:r>
            <w:r>
              <w:rPr>
                <w:rFonts w:hint="eastAsia" w:ascii="宋体" w:hAnsi="宋体" w:eastAsia="宋体" w:cs="宋体"/>
                <w:color w:val="auto"/>
                <w:kern w:val="0"/>
                <w:sz w:val="21"/>
                <w:szCs w:val="21"/>
                <w:highlight w:val="none"/>
              </w:rPr>
              <w:t>质谱</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色谱</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有机碳分析仪</w:t>
            </w:r>
            <w:r>
              <w:rPr>
                <w:rFonts w:hint="eastAsia" w:ascii="宋体" w:hAnsi="宋体" w:eastAsia="宋体" w:cs="宋体"/>
                <w:color w:val="auto"/>
                <w:kern w:val="0"/>
                <w:sz w:val="21"/>
                <w:szCs w:val="21"/>
                <w:highlight w:val="none"/>
                <w:lang w:val="zh-CN"/>
              </w:rPr>
              <w:t>等精密分析设备。</w:t>
            </w:r>
          </w:p>
        </w:tc>
      </w:tr>
      <w:tr w14:paraId="3E274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804" w:type="dxa"/>
            <w:vAlign w:val="center"/>
          </w:tcPr>
          <w:p w14:paraId="4758C981">
            <w:pPr>
              <w:keepNext w:val="0"/>
              <w:keepLines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auto"/>
                <w:kern w:val="0"/>
                <w:sz w:val="21"/>
                <w:szCs w:val="21"/>
                <w:highlight w:val="none"/>
                <w:lang w:val="zh-CN" w:eastAsia="en-US"/>
              </w:rPr>
            </w:pPr>
            <w:r>
              <w:rPr>
                <w:rFonts w:hint="eastAsia" w:ascii="宋体" w:hAnsi="宋体" w:eastAsia="宋体" w:cs="宋体"/>
                <w:color w:val="auto"/>
                <w:kern w:val="0"/>
                <w:sz w:val="21"/>
                <w:szCs w:val="21"/>
                <w:highlight w:val="none"/>
                <w:lang w:val="en-US" w:eastAsia="zh-CN"/>
              </w:rPr>
              <w:t>B</w:t>
            </w:r>
            <w:r>
              <w:rPr>
                <w:rFonts w:hint="eastAsia" w:ascii="宋体" w:hAnsi="宋体" w:eastAsia="宋体" w:cs="宋体"/>
                <w:color w:val="auto"/>
                <w:kern w:val="0"/>
                <w:sz w:val="21"/>
                <w:szCs w:val="21"/>
                <w:highlight w:val="none"/>
                <w:lang w:val="zh-CN" w:eastAsia="en-US"/>
              </w:rPr>
              <w:t>级</w:t>
            </w:r>
          </w:p>
        </w:tc>
        <w:tc>
          <w:tcPr>
            <w:tcW w:w="6015" w:type="dxa"/>
            <w:vAlign w:val="center"/>
          </w:tcPr>
          <w:p w14:paraId="32248F86">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仪器设备必须</w:t>
            </w:r>
            <w:r>
              <w:rPr>
                <w:rFonts w:hint="eastAsia" w:ascii="宋体" w:hAnsi="宋体" w:eastAsia="宋体" w:cs="宋体"/>
                <w:color w:val="auto"/>
                <w:kern w:val="0"/>
                <w:sz w:val="21"/>
                <w:szCs w:val="21"/>
                <w:highlight w:val="none"/>
              </w:rPr>
              <w:t>由具备同类设备搬迁经验</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专业技术人员现场指导搬迁。搬迁前，</w:t>
            </w:r>
            <w:r>
              <w:rPr>
                <w:rFonts w:hint="eastAsia" w:ascii="宋体" w:hAnsi="宋体" w:eastAsia="宋体" w:cs="宋体"/>
                <w:color w:val="auto"/>
                <w:kern w:val="0"/>
                <w:sz w:val="21"/>
                <w:szCs w:val="21"/>
                <w:highlight w:val="none"/>
                <w:lang w:val="zh-CN"/>
              </w:rPr>
              <w:t>由采购人、中标人</w:t>
            </w:r>
            <w:r>
              <w:rPr>
                <w:rFonts w:hint="eastAsia" w:ascii="宋体" w:hAnsi="宋体" w:eastAsia="宋体" w:cs="宋体"/>
                <w:color w:val="auto"/>
                <w:kern w:val="0"/>
                <w:sz w:val="21"/>
                <w:szCs w:val="21"/>
                <w:highlight w:val="none"/>
                <w:lang w:val="en-US" w:eastAsia="zh-CN"/>
              </w:rPr>
              <w:t>双</w:t>
            </w:r>
            <w:r>
              <w:rPr>
                <w:rFonts w:hint="eastAsia" w:ascii="宋体" w:hAnsi="宋体" w:eastAsia="宋体" w:cs="宋体"/>
                <w:color w:val="auto"/>
                <w:kern w:val="0"/>
                <w:sz w:val="21"/>
                <w:szCs w:val="21"/>
                <w:highlight w:val="none"/>
                <w:lang w:val="zh-CN"/>
              </w:rPr>
              <w:t>方共同确认仪器设备原有状态</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zh-CN"/>
              </w:rPr>
              <w:t>搬迁到位调试完成后，由采购人、中标人</w:t>
            </w:r>
            <w:r>
              <w:rPr>
                <w:rFonts w:hint="eastAsia" w:ascii="宋体" w:hAnsi="宋体" w:eastAsia="宋体" w:cs="宋体"/>
                <w:color w:val="auto"/>
                <w:kern w:val="0"/>
                <w:sz w:val="21"/>
                <w:szCs w:val="21"/>
                <w:highlight w:val="none"/>
                <w:lang w:val="en-US" w:eastAsia="zh-CN"/>
              </w:rPr>
              <w:t>双</w:t>
            </w:r>
            <w:r>
              <w:rPr>
                <w:rFonts w:hint="eastAsia" w:ascii="宋体" w:hAnsi="宋体" w:eastAsia="宋体" w:cs="宋体"/>
                <w:color w:val="auto"/>
                <w:kern w:val="0"/>
                <w:sz w:val="21"/>
                <w:szCs w:val="21"/>
                <w:highlight w:val="none"/>
                <w:lang w:val="zh-CN"/>
              </w:rPr>
              <w:t>方共同确认仪器设备</w:t>
            </w:r>
            <w:r>
              <w:rPr>
                <w:rFonts w:hint="eastAsia" w:ascii="宋体" w:hAnsi="宋体" w:eastAsia="宋体" w:cs="宋体"/>
                <w:color w:val="auto"/>
                <w:kern w:val="0"/>
                <w:sz w:val="21"/>
                <w:szCs w:val="21"/>
                <w:highlight w:val="none"/>
              </w:rPr>
              <w:t>能正常运行</w:t>
            </w:r>
            <w:r>
              <w:rPr>
                <w:rFonts w:hint="eastAsia" w:ascii="宋体" w:hAnsi="宋体" w:eastAsia="宋体" w:cs="宋体"/>
                <w:color w:val="auto"/>
                <w:kern w:val="0"/>
                <w:sz w:val="21"/>
                <w:szCs w:val="21"/>
                <w:highlight w:val="none"/>
                <w:lang w:val="zh-CN"/>
              </w:rPr>
              <w:t>。典型如</w:t>
            </w:r>
            <w:r>
              <w:rPr>
                <w:rFonts w:hint="eastAsia" w:ascii="宋体" w:hAnsi="宋体" w:eastAsia="宋体" w:cs="宋体"/>
                <w:color w:val="auto"/>
                <w:kern w:val="0"/>
                <w:sz w:val="21"/>
                <w:szCs w:val="21"/>
                <w:highlight w:val="none"/>
                <w:lang w:val="en-US" w:eastAsia="zh-CN"/>
              </w:rPr>
              <w:t>天平、钻样机</w:t>
            </w:r>
            <w:r>
              <w:rPr>
                <w:rFonts w:hint="eastAsia" w:ascii="宋体" w:hAnsi="宋体" w:eastAsia="宋体" w:cs="宋体"/>
                <w:color w:val="auto"/>
                <w:kern w:val="0"/>
                <w:sz w:val="21"/>
                <w:szCs w:val="21"/>
                <w:highlight w:val="none"/>
                <w:lang w:val="zh-CN"/>
              </w:rPr>
              <w:t>、显微冷热台等设备。</w:t>
            </w:r>
          </w:p>
        </w:tc>
      </w:tr>
      <w:tr w14:paraId="4354A7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04" w:type="dxa"/>
            <w:shd w:val="clear" w:color="auto" w:fill="auto"/>
            <w:vAlign w:val="center"/>
          </w:tcPr>
          <w:p w14:paraId="3F84B229">
            <w:pPr>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kern w:val="0"/>
                <w:sz w:val="21"/>
                <w:szCs w:val="21"/>
                <w:highlight w:val="none"/>
                <w:lang w:val="en-US" w:eastAsia="zh-CN" w:bidi="en-US"/>
              </w:rPr>
            </w:pPr>
            <w:r>
              <w:rPr>
                <w:rFonts w:hint="eastAsia" w:ascii="宋体" w:hAnsi="宋体" w:eastAsia="宋体" w:cs="宋体"/>
                <w:color w:val="auto"/>
                <w:kern w:val="0"/>
                <w:sz w:val="21"/>
                <w:szCs w:val="21"/>
                <w:highlight w:val="none"/>
                <w:lang w:val="en-US" w:eastAsia="zh-CN"/>
              </w:rPr>
              <w:t>C级</w:t>
            </w:r>
          </w:p>
        </w:tc>
        <w:tc>
          <w:tcPr>
            <w:tcW w:w="6015" w:type="dxa"/>
            <w:shd w:val="clear" w:color="auto" w:fill="auto"/>
            <w:vAlign w:val="center"/>
          </w:tcPr>
          <w:p w14:paraId="67AC12BC">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color w:val="auto"/>
                <w:sz w:val="21"/>
                <w:szCs w:val="21"/>
                <w:highlight w:val="none"/>
                <w:lang w:val="en-US" w:eastAsia="zh-CN" w:bidi="en-US"/>
              </w:rPr>
            </w:pPr>
            <w:r>
              <w:rPr>
                <w:rFonts w:hint="eastAsia" w:ascii="宋体" w:hAnsi="宋体" w:eastAsia="宋体" w:cs="宋体"/>
                <w:color w:val="auto"/>
                <w:kern w:val="0"/>
                <w:sz w:val="21"/>
                <w:szCs w:val="21"/>
                <w:highlight w:val="none"/>
              </w:rPr>
              <w:t>搬迁后只需确认外观正常即可接收的仪器设备，例如压汞仪等物品。确保与搬迁前使用状态一致</w:t>
            </w:r>
            <w:r>
              <w:rPr>
                <w:rFonts w:hint="eastAsia" w:ascii="宋体" w:hAnsi="宋体" w:eastAsia="宋体" w:cs="宋体"/>
                <w:color w:val="auto"/>
                <w:kern w:val="0"/>
                <w:sz w:val="21"/>
                <w:szCs w:val="21"/>
                <w:highlight w:val="none"/>
                <w:lang w:val="en-US" w:eastAsia="zh-CN"/>
              </w:rPr>
              <w:t>。</w:t>
            </w:r>
          </w:p>
        </w:tc>
      </w:tr>
      <w:tr w14:paraId="574385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04" w:type="dxa"/>
            <w:shd w:val="clear" w:color="auto" w:fill="auto"/>
            <w:vAlign w:val="center"/>
          </w:tcPr>
          <w:p w14:paraId="521AE333">
            <w:pPr>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D级</w:t>
            </w:r>
          </w:p>
        </w:tc>
        <w:tc>
          <w:tcPr>
            <w:tcW w:w="6015" w:type="dxa"/>
            <w:shd w:val="clear" w:color="auto" w:fill="auto"/>
            <w:vAlign w:val="center"/>
          </w:tcPr>
          <w:p w14:paraId="5335D237">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指需要进行特殊拆卸安装流程，运用特殊设备工具才能完成的迁移物品，如重型设备等；或者有特殊要求的物资，如气体、化学品（包括但不限于易燃易爆和易制毒试剂等）有特殊保温要求的试剂等。</w:t>
            </w:r>
          </w:p>
        </w:tc>
      </w:tr>
    </w:tbl>
    <w:p w14:paraId="485D84D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（二）技术服务要求（用户需求书中标注“▲”号条款为重要技术参数，但不作为无效投标条款）</w:t>
      </w:r>
    </w:p>
    <w:p w14:paraId="279AFBE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1.前期勘测与资产建档</w:t>
      </w:r>
    </w:p>
    <w:p w14:paraId="66E3EA2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24小时内组建专项项目组，完成新旧校区现场勘测，结合工期制定搬迁计划；逐台设备拍照、编号、贴标、建档，记录外观、配件、运行状态，双方签字确认资产台账；按精密光学仪器、分析仪器、重型岩土设备分类编制搬迁、应急预案。</w:t>
      </w:r>
    </w:p>
    <w:p w14:paraId="3EED191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2.精密设备标准化拆卸</w:t>
      </w:r>
    </w:p>
    <w:p w14:paraId="7782637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所有仪器由持证工程师规范拆解，严格执行断电验电、线路分色标记、配件分类收纳流程；激光、质谱、高精度天平的镜头、传感器等精密组件单独隔离防护；螺丝、管路小件全部编号分装，确保配件完整可追溯；三轴等重型设备拆卸前做结构加固，防止设备变形。</w:t>
      </w:r>
    </w:p>
    <w:p w14:paraId="201CB72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3.多层级防震防护包装</w:t>
      </w:r>
    </w:p>
    <w:p w14:paraId="0B48500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精密分析仪器采用海绵、加厚气泡膜、防撞护角、硬质纸箱多层防护，高价值设备加装实木木箱；光学玻璃、细小管路单独隔离包装；箱体统一标注易碎、直立、轻放标识，设备分区打包，杜绝挤压、倒置。</w:t>
      </w:r>
    </w:p>
    <w:p w14:paraId="1311461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4.跨校区及校内转运</w:t>
      </w:r>
    </w:p>
    <w:p w14:paraId="3559DA7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全程使用密闭减震货车；校内错峰施工，避开教学时段，服从校园管理；大件设备转运路线提前报备校方；所有精密仪器保持直立运输，全程轻拿轻放，禁止拖拽、抛扔。</w:t>
      </w:r>
    </w:p>
    <w:p w14:paraId="7F209AE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5.就位安装、与精度调试</w:t>
      </w:r>
    </w:p>
    <w:p w14:paraId="4D40F7B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按照校方指定点位调平放稳，完成水、电、气管路复原对接；所有设备通电自检、功能调试、精度校准，搬迁后精度恢复原有科研标准；完工后清理全部包装废料，恢复实验室原貌。</w:t>
      </w:r>
    </w:p>
    <w:p w14:paraId="203D3FD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（1）就位与初步固定</w:t>
      </w:r>
    </w:p>
    <w:p w14:paraId="3A7D691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在新址按照规划平面图精确放置设备；</w:t>
      </w:r>
    </w:p>
    <w:p w14:paraId="1CC0AD1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使用激光水平仪确保安装精度（激光辅助定位，精度0.05mm；水平度≤0.02mm/m）；</w:t>
      </w:r>
    </w:p>
    <w:p w14:paraId="738E0C44">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大型设备采用液压搬运系统就位，立即进行初步固定。</w:t>
      </w:r>
    </w:p>
    <w:p w14:paraId="6A94B6F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（2）系统连接与恢复</w:t>
      </w:r>
    </w:p>
    <w:p w14:paraId="120BDB8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按照拆卸时的标记和照片，逐项恢复电缆、管路连接；</w:t>
      </w:r>
    </w:p>
    <w:p w14:paraId="0706A56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先完成机械安装，再进行电气连接；</w:t>
      </w:r>
    </w:p>
    <w:p w14:paraId="0253796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接地线连接必须可靠确认。</w:t>
      </w:r>
    </w:p>
    <w:p w14:paraId="0B3F1E4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（3）功能测试与性能校准</w:t>
      </w:r>
    </w:p>
    <w:p w14:paraId="0DA84801">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逐项测试设备基础功能；</w:t>
      </w:r>
    </w:p>
    <w:p w14:paraId="7DACF26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对照设备技术手册和搬迁前的参数记录，逐项验证设备性能指标；</w:t>
      </w:r>
    </w:p>
    <w:p w14:paraId="27610A6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对精密仪器的调试可能需要3天以上，需预留充裕时间。</w:t>
      </w:r>
    </w:p>
    <w:p w14:paraId="6D05B55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（4）环境适应性调整</w:t>
      </w:r>
    </w:p>
    <w:p w14:paraId="68AD9B7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精密仪器待新实验室环境参数（温湿度、电磁干扰）稳定后，再进行最终精细调试；</w:t>
      </w:r>
    </w:p>
    <w:p w14:paraId="0898B3E5">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所有设备完成单机调试后，进行联动测试，确保系统兼容性。</w:t>
      </w:r>
    </w:p>
    <w:p w14:paraId="2AA4B0B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6.三级清点验收制度</w:t>
      </w:r>
    </w:p>
    <w:p w14:paraId="584E27B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落实搬迁前建档、转运中途点检、就位后终验三级清点；项目完工提交全套搬迁台账、设备状态记录表、竣工验收资料，配合校方完成资产对账、整体验收。</w:t>
      </w:r>
    </w:p>
    <w:p w14:paraId="08750F03">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▲7.迁移配套服务</w:t>
      </w:r>
    </w:p>
    <w:p w14:paraId="3703CDD6">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为了迁移后能实时掌握大型精密仪器的运行状态，确保仪器搬后故障界定有依据，且能高效解决，投标人需提供仪器智能信息服务：</w:t>
      </w:r>
    </w:p>
    <w:p w14:paraId="03F734F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提供仪器设备二维码管理服务：中标商提供13台完成迁移的A级精密仪器设备动态信息二维码，粘贴在仪器上。通过扫描二维码可实现精准学习，学习资料可覆盖仪器的各个方面，如操作规程、产品手册、操作视频、维护视频、相关标准、相关方法等。投标文件中需提供能实现上述服务的演示过程截图证明资料。</w:t>
      </w:r>
    </w:p>
    <w:p w14:paraId="3C62CD7E">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建立项目过程管理预案和信息沟通机制：为提高迁移效率，对迁移工作的进展、物品状态进行精准掌控，管理系统需实现以下功能：项目管理、设备管理、任务分配、安装场地核查、仪器拆卸前测试、仪器拆解打包、仪器安装后测试、运输装车卸车管理、工程师管理、大数据可视化平台。(投标文件中需提供上述10个系统功能截图加盖投标人公章作为证明材料，中标后5个工作日内提供该系统给采购人核验，不符合要求的视为虚假应标，取消中标资格)。</w:t>
      </w:r>
    </w:p>
    <w:p w14:paraId="1710EDE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9.1中标人在采购人迁进实验室前，使用经国家认可的计量认证机构计量认证过的专业测量仪器对采购人实验室环境（如供电、供气、通风、温湿度）进行评价，确保迁进实验室状况达到仪器使用标准，对不达标情况提供整改建议书。</w:t>
      </w:r>
    </w:p>
    <w:p w14:paraId="2BE3F8D5">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9.2投标时需提供专业测量仪器：数字式风速计、数字万用表、辐射剂量测试仪、气体检测仪、示波器、紫外辐射照度计的购买发票和检测计量报告扫描件（由具有CNAS或CMA第三方检测机构近一年（开标前）出具），投标人需在中标后5个日历日内提供计量报告原件核查，否则采购人有权与中标人终止合同。</w:t>
      </w:r>
    </w:p>
    <w:p w14:paraId="7494448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关于试剂（含危险化学品）的搬运工作,投标人必须承诺使用具有道路危险货物运输许可证，按照国家标准《道路运输危险货物车辆标志》（GB13392）的要求悬挂标志的专业车辆负责运输。运输、搬运人员必须具备相应资格证、化学品搬运相关安全知识和技能，有从事化学品搬运的经历；搬运剧毒、强腐蚀性危化品的相关人员，须穿戴相应的防化服；（投标文件中需提供承诺书并加盖公章）。</w:t>
      </w:r>
    </w:p>
    <w:p w14:paraId="39606F6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10.安全文明施工要求</w:t>
      </w:r>
    </w:p>
    <w:p w14:paraId="440755C4">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全体施工人员统一工装、持证上岗，保障10天工期；做到工完场清；中标方承担全过程人员、实验设备、校园设施全部安全责任，实现施工零事故、设施零损坏、配件零丢失。</w:t>
      </w:r>
    </w:p>
    <w:p w14:paraId="5977193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（三）专项服务质量管控要求</w:t>
      </w:r>
    </w:p>
    <w:p w14:paraId="329E8DD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 人员服务质量</w:t>
      </w:r>
    </w:p>
    <w:p w14:paraId="68322BE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所有进场人员统一工装、佩戴工牌，言行文明规范，不得喧哗吵闹、与师生发生争执；禁止在实验室吸烟、饮食、随意丢弃杂物；现场项目负责人全程在岗，校方合理调整需求10分钟内到场处置，不得推诿拖延；未经实验室老师许可，不得触碰、挪动未搬迁仪器、试剂及办公用品。</w:t>
      </w:r>
    </w:p>
    <w:p w14:paraId="03CA182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（2）作业人员操作规范统一，禁止野蛮施工、违规拆解精密核心部件。</w:t>
      </w:r>
    </w:p>
    <w:p w14:paraId="014218F1">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（3）项目总负责人、中标单位委派的场发射扫描电镜技术主管全程驻场协调，校方提出合理调整需求10分钟内到场响应处置，不得推诿拖延。</w:t>
      </w:r>
    </w:p>
    <w:p w14:paraId="7F5D3AD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 施工工艺质量标准</w:t>
      </w:r>
    </w:p>
    <w:p w14:paraId="47FDD1E0">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拆装、包装、运输、复原工序严格执行精密仪器行业规范，电镜拆装、包装、运输、复原全流程严格遵循场发射电镜原厂拆装规范，严禁减省防护耗材、简化作业流程，校方可随时现场抽查，发现偷工减料立即停工整改，工期不予顺延；</w:t>
      </w:r>
    </w:p>
    <w:p w14:paraId="2CA9B41A">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（2）设备复原后的平整度、密封性、管路匹配度、检测精度必须达到搬迁前使用标准，调试不合格需免费反复整改直至验收通过，产生的人工、耗材成本全部由中标方自行承担。</w:t>
      </w:r>
    </w:p>
    <w:p w14:paraId="5F26C26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（3）实验室封窗、水电气配套改造外观规整，线路管路排布整齐，无渗漏、无静电干扰、无安全隐患，满足设备长期稳定运行环境要求。</w:t>
      </w:r>
    </w:p>
    <w:p w14:paraId="42977E1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 全过程质量监督机制</w:t>
      </w:r>
    </w:p>
    <w:p w14:paraId="094B831A">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（1）建立每日质量巡检制度，项目负责人每日向校方报送当日施工进度、设备防护现场照片、质量自查小结；</w:t>
      </w:r>
    </w:p>
    <w:p w14:paraId="0122E50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（2）校方人员可全程旁站监督所有拆装、运输、安装工序，任一环节存在防护不到位、操作不规范等质量问题，供应商须无条件立即整改，由此造成工期延误、额外成本全部由中标方承担；</w:t>
      </w:r>
    </w:p>
    <w:p w14:paraId="1CFE8AA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（3）项目验收硬性考核标准：设备整机完好率100%、精密配件无丢失、实验室场地无破损、仪器一次调试合格率100%，未达到上述标准不予通过验收。</w:t>
      </w:r>
    </w:p>
    <w:p w14:paraId="3E4BF92E">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（四）售后服务要求</w:t>
      </w:r>
    </w:p>
    <w:p w14:paraId="6A8A2904">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1.质保服务：项目验收合格后提供不少于60天专项搬迁质保期，因拆装、运输、安装施工导致的设备真空泄漏、精度偏移、电路故障、管路渗漏等问题，提供免费上门复检、校准、维修服务；</w:t>
      </w:r>
    </w:p>
    <w:p w14:paraId="6D29534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2.搬迁途中造成仪器损毁、配件遗失，按设备采购原值或第三方评估价格全额赔付。</w:t>
      </w:r>
    </w:p>
    <w:p w14:paraId="3E3E6755">
      <w:pPr>
        <w:keepNext w:val="0"/>
        <w:keepLines w:val="0"/>
        <w:pageBreakBefore w:val="0"/>
        <w:kinsoku/>
        <w:wordWrap/>
        <w:overflowPunct/>
        <w:topLinePunct w:val="0"/>
        <w:autoSpaceDE/>
        <w:autoSpaceDN/>
        <w:bidi w:val="0"/>
        <w:adjustRightInd/>
        <w:snapToGrid/>
        <w:spacing w:line="360" w:lineRule="auto"/>
        <w:jc w:val="both"/>
        <w:textAlignment w:val="auto"/>
      </w:pPr>
      <w:bookmarkStart w:id="0" w:name="_GoBack"/>
      <w:bookmarkEnd w:id="0"/>
      <w:r>
        <w:rPr>
          <w:rFonts w:hint="eastAsia" w:ascii="宋体" w:hAnsi="宋体" w:eastAsia="宋体" w:cs="宋体"/>
          <w:color w:val="auto"/>
          <w:kern w:val="0"/>
          <w:sz w:val="24"/>
          <w:szCs w:val="24"/>
          <w:highlight w:val="none"/>
          <w:lang w:val="en-US" w:eastAsia="zh-CN"/>
        </w:rPr>
        <w:t>3.应急响应保障：提供7×24小时售后专线应急响应，接到校方设备故障通知后24小时内技术工程师抵达鄠邑校区现场处置维修、校准。</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777AB7"/>
    <w:multiLevelType w:val="singleLevel"/>
    <w:tmpl w:val="28777AB7"/>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79689F"/>
    <w:rsid w:val="42796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76" w:lineRule="exact"/>
      <w:ind w:firstLine="561"/>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2026-07-30T09:49:00Z</dcterms:created>
  <dc:creator>默.</dc:creator>
  <cp:lastModifiedBy>默.</cp:lastModifiedBy>
  <dcterms:modified xsi:type="dcterms:W3CDTF">2026-07-30T09:49:18Z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A4C9904BF394444C857DDEB12CA2BAAC_11</vt:lpwstr>
  </property>
  <property fmtid="{D5CDD505-2E9C-101B-9397-08002B2CF9AE}" pid="4" name="KSOTemplateDocerSaveRecord">
    <vt:lpwstr>eyJoZGlkIjoiYmVjNjBlMjYzYWVmODBkZmRhZTZhNjNmNjJkNDcxZjciLCJ1c2VySWQiOiI0MjU4NjcyNzgifQ==</vt:lpwstr>
  </property>
</Properties>
</file>