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版本号：ZK26(CG)0302320260703001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检察业务综合保障装备--检察工作网国产化终端配套采购项目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ZK26(CG)03023</w:t>
      </w:r>
      <w:r>
        <w:br/>
      </w:r>
      <w:r>
        <w:br/>
      </w:r>
      <w:r>
        <w:br/>
      </w:r>
    </w:p>
    <w:p>
      <w:pPr>
        <w:pStyle w:val="null3"/>
        <w:jc w:val="center"/>
        <w:outlineLvl w:val="2"/>
      </w:pPr>
      <w:r>
        <w:rPr>
          <w:rFonts w:ascii="仿宋_GB2312" w:hAnsi="仿宋_GB2312" w:cs="仿宋_GB2312" w:eastAsia="仿宋_GB2312"/>
          <w:sz w:val="28"/>
          <w:b/>
        </w:rPr>
        <w:t>略阳县人民检察院</w:t>
      </w:r>
    </w:p>
    <w:p>
      <w:pPr>
        <w:pStyle w:val="null3"/>
        <w:jc w:val="center"/>
        <w:outlineLvl w:val="2"/>
      </w:pPr>
      <w:r>
        <w:rPr>
          <w:rFonts w:ascii="仿宋_GB2312" w:hAnsi="仿宋_GB2312" w:cs="仿宋_GB2312" w:eastAsia="仿宋_GB2312"/>
          <w:sz w:val="28"/>
          <w:b/>
        </w:rPr>
        <w:t>正凯建设项目管理有限公司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正凯建设项目管理有限公司</w:t>
      </w:r>
      <w:r>
        <w:rPr>
          <w:rFonts w:ascii="仿宋_GB2312" w:hAnsi="仿宋_GB2312" w:cs="仿宋_GB2312" w:eastAsia="仿宋_GB2312"/>
        </w:rPr>
        <w:t>（以下简称“代理机构”）受</w:t>
      </w:r>
      <w:r>
        <w:rPr>
          <w:rFonts w:ascii="仿宋_GB2312" w:hAnsi="仿宋_GB2312" w:cs="仿宋_GB2312" w:eastAsia="仿宋_GB2312"/>
        </w:rPr>
        <w:t>略阳县人民检察院</w:t>
      </w:r>
      <w:r>
        <w:rPr>
          <w:rFonts w:ascii="仿宋_GB2312" w:hAnsi="仿宋_GB2312" w:cs="仿宋_GB2312" w:eastAsia="仿宋_GB2312"/>
        </w:rPr>
        <w:t>委托，拟对</w:t>
      </w:r>
      <w:r>
        <w:rPr>
          <w:rFonts w:ascii="仿宋_GB2312" w:hAnsi="仿宋_GB2312" w:cs="仿宋_GB2312" w:eastAsia="仿宋_GB2312"/>
        </w:rPr>
        <w:t>检察业务综合保障装备--检察工作网国产化终端配套采购项目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ZK26(CG)03023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检察业务综合保障装备--检察工作网国产化终端配套采购项目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该项⽬建设功能包括检察⼯作⽹版式软件、流式软件、国产操作系统、云桌⾯升级扩容的桌⾯云管理软件、检察⼯作⽹云桌⾯升级办案终端等；及各类辅助软件及实施安装等。主要功能或⽬标:1、负责原有⼯作⽹桌⾯云设备的割接与优化⼯作，确保业务在指定窗⼝期内完成割接。2.需对⼯作⽹桌⾯云设备进⾏软件升级部署，保证本次采购的检察⼯作⽹办案终端和配套版式软件、流式软件、操作系统、云桌⾯升级扩容的桌⾯云管理软件需与我单位现有桌⾯云产品平滑对接，且⽀持将原有系统软件升级到与新设备软件同⼀版本，⽀持双屏显⽰系统，保证⽂书制作和材料取证可以同时进⾏;提供合理的实施⽅案，保证产品落地效果。满⾜检察⼯作⽹办案需求。从设备部署、数据采集、联动处置等⽅⾯进⾏规划设计，以满⾜我单位桌⾯云监测、分析、响应效率。主要产品必须满⾜中国信息安全评测中⼼《安全可靠测评结果公告》。</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承担⺠事责任能⼒的法⼈、其他组织或⾃然⼈，提供合法有效的统⼀社会信⽤代码营业执照（事业单位法⼈证书/专业服务机构执业许可证/⺠办⾮企业单位登记证书，⾃然⼈提供⾝份证）；</w:t>
      </w:r>
    </w:p>
    <w:p>
      <w:pPr>
        <w:pStyle w:val="null3"/>
      </w:pPr>
      <w:r>
        <w:rPr>
          <w:rFonts w:ascii="仿宋_GB2312" w:hAnsi="仿宋_GB2312" w:cs="仿宋_GB2312" w:eastAsia="仿宋_GB2312"/>
        </w:rPr>
        <w:t>2、法定代表⼈授权书：供应商应授权合法的⼈员参加投标全过程，其中法定代表⼈直接参加投标的，须出具法⼈⾝份证明及法⼈⾝份证，并与营业执照上信息⼀致。法定代表授权委托⼈参加投标的，须出具法定代表授权委托书及被授权代表⾝份证。</w:t>
      </w:r>
    </w:p>
    <w:p>
      <w:pPr>
        <w:pStyle w:val="null3"/>
      </w:pPr>
      <w:r>
        <w:rPr>
          <w:rFonts w:ascii="仿宋_GB2312" w:hAnsi="仿宋_GB2312" w:cs="仿宋_GB2312" w:eastAsia="仿宋_GB2312"/>
        </w:rPr>
        <w:t>3、投标供应商资格承诺函：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4、声明函：本项⽬不接受联合体投标，不允许分包。供应商应提供《⾮联合体不分包投标声明》。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略阳县人民检察院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陕西省汉中市水灵路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略阳县人民检察院经办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18009162909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正凯建设项目管理有限公司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陕西省西安市未央区陕西省西安市未央区北二环与太华路立交桥东北角百环国际19层11902号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15591479129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开户名称：正凯建设项⽬管理有限公司</w:t>
            </w:r>
          </w:p>
          <w:p>
            <w:pPr>
              <w:pStyle w:val="null3"/>
            </w:pPr>
            <w:r>
              <w:rPr>
                <w:rFonts w:ascii="仿宋_GB2312" w:hAnsi="仿宋_GB2312" w:cs="仿宋_GB2312" w:eastAsia="仿宋_GB2312"/>
              </w:rPr>
              <w:t>开户银行：中国建设银⾏西安经济技术开发区⽀⾏</w:t>
            </w:r>
          </w:p>
          <w:p>
            <w:pPr>
              <w:pStyle w:val="null3"/>
            </w:pPr>
            <w:r>
              <w:rPr>
                <w:rFonts w:ascii="仿宋_GB2312" w:hAnsi="仿宋_GB2312" w:cs="仿宋_GB2312" w:eastAsia="仿宋_GB2312"/>
              </w:rPr>
              <w:t>银行账号：61050193004100000678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代理服务费收费标准：按国家计委关于印发《招标代理服务收费管理暂⾏办法》的通知（计价格[2002]1980号）号⽂的有关标准收取，由成交供应商在领取成交通知书前向采购代理机构⼀次性⽀付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略阳县人民检察院</w:t>
      </w:r>
      <w:r>
        <w:rPr>
          <w:rFonts w:ascii="仿宋_GB2312" w:hAnsi="仿宋_GB2312" w:cs="仿宋_GB2312" w:eastAsia="仿宋_GB2312"/>
        </w:rPr>
        <w:t>和</w:t>
      </w:r>
      <w:r>
        <w:rPr>
          <w:rFonts w:ascii="仿宋_GB2312" w:hAnsi="仿宋_GB2312" w:cs="仿宋_GB2312" w:eastAsia="仿宋_GB2312"/>
        </w:rPr>
        <w:t>正凯建设项目管理有限公司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略阳县人民检察院</w:t>
      </w:r>
      <w:r>
        <w:rPr>
          <w:rFonts w:ascii="仿宋_GB2312" w:hAnsi="仿宋_GB2312" w:cs="仿宋_GB2312" w:eastAsia="仿宋_GB2312"/>
        </w:rPr>
        <w:t>负责解释。除上述招标文件内容，其他内容由</w:t>
      </w:r>
      <w:r>
        <w:rPr>
          <w:rFonts w:ascii="仿宋_GB2312" w:hAnsi="仿宋_GB2312" w:cs="仿宋_GB2312" w:eastAsia="仿宋_GB2312"/>
        </w:rPr>
        <w:t>正凯建设项目管理有限公司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略阳县人民检察院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正凯建设项目管理有限公司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知识产权归采购⽅所有。供应⽅须保证不侵犯第三⽅产权，否则⾃⾏承担所有法律责任及赔偿。</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1.规格需完全符合合同约定参数2.供应商需提供完整质量合格证明文件3.到货数量与采购清单100%一致4，包装完好无运输损坏5.按约定时间节点完成交付6.通过采购方专业检测验收7.开具合规发票及验收单据。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正凯建设项目管理有限公司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正凯建设项目管理有限公司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正凯建设项目管理有限公司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w:t>
      </w:r>
    </w:p>
    <w:p>
      <w:pPr>
        <w:pStyle w:val="null3"/>
      </w:pPr>
      <w:r>
        <w:rPr>
          <w:rFonts w:ascii="仿宋_GB2312" w:hAnsi="仿宋_GB2312" w:cs="仿宋_GB2312" w:eastAsia="仿宋_GB2312"/>
        </w:rPr>
        <w:t>联系电话：15591479129</w:t>
      </w:r>
    </w:p>
    <w:p>
      <w:pPr>
        <w:pStyle w:val="null3"/>
      </w:pPr>
      <w:r>
        <w:rPr>
          <w:rFonts w:ascii="仿宋_GB2312" w:hAnsi="仿宋_GB2312" w:cs="仿宋_GB2312" w:eastAsia="仿宋_GB2312"/>
        </w:rPr>
        <w:t>地址：陕西省汉中市汉台区供电⼤道邮局对⾯正凯公司</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建设功能包括检察工作网版式软件、流式软件、国产操作系统、云桌面升级扩容的桌面云管理软件、检察工作网云桌面升级办案终端等；及各类辅助软件及实施安装等。主要功能或目标:1、负责原有工作网桌面云设备的割接与优化工作，确保业务在指定窗口期内完成割接。2.需对工作网桌面云设备进行软件升级部署，保证本次采购的检察工作网办案终端和配套版式软件、流式软件、操作系统、云桌面升级扩容的桌面云管理软件需与我单位现有桌面云产品平滑对接，且支持将原有系统软件升级到与新设备软件同一版本，支持双屏显示系统，保证文书制作和材料取证可以同时进行;提供合理的实施方案，保证产品落地效果。满足检察工作网办案需求。从设备部署、数据采集、联动处置等方面进行规划设计，以满足我单位桌面云监测、分析、响应效率。主要产品必须满足中国信息安全评测中心《安全可靠测评结果公告》。</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检察业务综合保障装备--检察工作网办案国产化终端配套采购项目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标的名称：检察业务综合保障装备--检察工作网办案国产化终端配套采购项目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23"/>
              <w:gridCol w:w="451"/>
              <w:gridCol w:w="2022"/>
              <w:gridCol w:w="244"/>
              <w:gridCol w:w="240"/>
            </w:tblGrid>
            <w:tr>
              <w:tc>
                <w:tcPr>
                  <w:tcW w:type="dxa" w:w="3180"/>
                  <w:gridSpan w:val="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检察业务综合保障装备</w:t>
                  </w:r>
                  <w:r>
                    <w:rPr>
                      <w:rFonts w:ascii="仿宋_GB2312" w:hAnsi="仿宋_GB2312" w:cs="仿宋_GB2312" w:eastAsia="仿宋_GB2312"/>
                      <w:sz w:val="32"/>
                      <w:color w:val="000000"/>
                    </w:rPr>
                    <w:t>--检察工作网办案国产化终端配套采购</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2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主要技术参数</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流式软件</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for linux专业版；永久激活版，三年服务期。支持多种文档格式；兼容Word、Excel、PPT三大办公组件的不同格式；分整合模式以及多组件模式，把文字、表格、演示和PDF四大组件整合在同一个窗口下，并只桌面上生成唯一快捷方式的图标;或者将每个组件单独使用不同窗口，并在桌面生成相应的图标。用户可以根据日常的习惯和喜好来选择界面模式。</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版式软件</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版式文档处理软件完全符合国家</w:t>
                  </w:r>
                  <w:r>
                    <w:rPr>
                      <w:rFonts w:ascii="仿宋_GB2312" w:hAnsi="仿宋_GB2312" w:cs="仿宋_GB2312" w:eastAsia="仿宋_GB2312"/>
                      <w:sz w:val="24"/>
                      <w:color w:val="000000"/>
                    </w:rPr>
                    <w:t>OFD版式标准和电子公文标准，通过格式标准符合性测试和实现安全可靠环境迁移的OFD版式技术产品，具有跨平台、高效率、定制性强、安全性高等特点。OFD版式文档处理软件系列产品包括版式文档阅读、格式转换、阅读安全增强、文档安全外带、无插件阅读等五大类功能和服务，可无缝集成到电子公文、数字档案、电子证照、行业应用软件等信息系统中，为用户提供标准化、高可用的版式文档处理支撑服务。可以提供OFD版式文档的基本阅读和操作功能，是用于处理OFD格式文件的版式办公软件，提供打印、注释、签批、手写、电子签章、修订、公文语义等基本功能，支持添加水印、兼容国内外主流版式软件。 永久激活版，三年服务期。</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安全浏览器</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检察机关专用安全浏览器以</w:t>
                  </w:r>
                  <w:r>
                    <w:rPr>
                      <w:rFonts w:ascii="仿宋_GB2312" w:hAnsi="仿宋_GB2312" w:cs="仿宋_GB2312" w:eastAsia="仿宋_GB2312"/>
                      <w:sz w:val="24"/>
                      <w:color w:val="000000"/>
                    </w:rPr>
                    <w:t>360安全浏览器为基座，基于统一业务应用系统2.0进行专属定制，遵循web系统建设标准，支持国产密码算法，与各类业务功能、流版签插件、网关、CA、Key等软硬件产品深度联合开发适配，为全国的检察机关办公人员提供统一、高效、安全、智能的办公服务。永久激活版，三年服务期。</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操作系统</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支持龙芯、兆芯、飞腾、鲲鹏、海光等</w:t>
                  </w:r>
                  <w:r>
                    <w:rPr>
                      <w:rFonts w:ascii="仿宋_GB2312" w:hAnsi="仿宋_GB2312" w:cs="仿宋_GB2312" w:eastAsia="仿宋_GB2312"/>
                      <w:sz w:val="24"/>
                      <w:color w:val="000000"/>
                    </w:rPr>
                    <w:t>CPU；提供图形化人机操作UI界面，具有良好的用户操作体验，窗口包括标题栏、菜单栏、状态栏等。支持金山wps主流办公软件；提供安全中心管控工具，提供图形化应用执行控制工具，具有检查应用程序完整性、来源等功能；为保证业务适配性，需和省检察院技术路线保持一致。永久激活版，三年服务期。须通过国家相关相关安全可靠测评认证.</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05</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数据库管理系统</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1、可靠性要求 所投软件产品须在中国信息安全测评中心与国家保密科技测评中心官网发布的“安全可靠测评结果公告”中 “附件三、集中式数据库”的产品清单中。（需提供官网截图或官网宣传彩页证明）</w:t>
                  </w:r>
                  <w:r>
                    <w:br/>
                  </w:r>
                  <w:r>
                    <w:rPr>
                      <w:rFonts w:ascii="仿宋_GB2312" w:hAnsi="仿宋_GB2312" w:cs="仿宋_GB2312" w:eastAsia="仿宋_GB2312"/>
                      <w:sz w:val="24"/>
                      <w:color w:val="000000"/>
                    </w:rPr>
                    <w:t>2、▲产品拥有自主知识产权，完全自主可控，达到《信息技术产品自主原创测评要求》(试行)中的要求，且产品核心功能模块的核心源码自主代码比例不低于95%,需提供权威评测机构出具的核心源代码开源率证明及信息技术产品自主原创性测评证书。</w:t>
                  </w:r>
                  <w:r>
                    <w:br/>
                  </w:r>
                  <w:r>
                    <w:rPr>
                      <w:rFonts w:ascii="仿宋_GB2312" w:hAnsi="仿宋_GB2312" w:cs="仿宋_GB2312" w:eastAsia="仿宋_GB2312"/>
                      <w:sz w:val="24"/>
                      <w:color w:val="000000"/>
                    </w:rPr>
                    <w:t>3、支持外部链接DBLINK；支持外部函数，包括支持C语言和JAVA语言外部函数，可在数据库中执行C语言和JAVA语言外部函数。</w:t>
                  </w:r>
                  <w:r>
                    <w:br/>
                  </w:r>
                  <w:r>
                    <w:rPr>
                      <w:rFonts w:ascii="仿宋_GB2312" w:hAnsi="仿宋_GB2312" w:cs="仿宋_GB2312" w:eastAsia="仿宋_GB2312"/>
                      <w:sz w:val="24"/>
                      <w:color w:val="000000"/>
                    </w:rPr>
                    <w:t>4、单表支持创建2048列：支持分区表，包括范围分区、哈希分区、列表分区、间隔分区等；支持组合分区，如可以实现列表、范围组合分区等；支持单表分区数量为65535个支持分区键包含多列，列数最多达到16列；支持增加、删除、合并、拆分、交换、截断重命名等分区操作；支持分区表迁移。</w:t>
                  </w:r>
                  <w:r>
                    <w:br/>
                  </w:r>
                  <w:r>
                    <w:rPr>
                      <w:rFonts w:ascii="仿宋_GB2312" w:hAnsi="仿宋_GB2312" w:cs="仿宋_GB2312" w:eastAsia="仿宋_GB2312"/>
                      <w:sz w:val="24"/>
                      <w:color w:val="000000"/>
                    </w:rPr>
                    <w:t>5、提供建表延迟分段功能，可基于类似SEGMENT CREATION DEFERRED的语法实现。</w:t>
                  </w:r>
                  <w:r>
                    <w:br/>
                  </w:r>
                  <w:r>
                    <w:rPr>
                      <w:rFonts w:ascii="仿宋_GB2312" w:hAnsi="仿宋_GB2312" w:cs="仿宋_GB2312" w:eastAsia="仿宋_GB2312"/>
                      <w:sz w:val="24"/>
                      <w:color w:val="000000"/>
                    </w:rPr>
                    <w:t>6、系统支持日期时间类型列的自动更新功能，支持在日期时间类型（如TIMESTAMP、DATETIME）字段上设置ON UPDATE自动更新时间功能。</w:t>
                  </w:r>
                  <w:r>
                    <w:br/>
                  </w:r>
                  <w:r>
                    <w:rPr>
                      <w:rFonts w:ascii="仿宋_GB2312" w:hAnsi="仿宋_GB2312" w:cs="仿宋_GB2312" w:eastAsia="仿宋_GB2312"/>
                      <w:sz w:val="24"/>
                      <w:color w:val="000000"/>
                    </w:rPr>
                    <w:t>7、支持在删除约束时可选择是否保留约束上的索引，可通过类似ALTER TABLE DROP CONSTRAINT &lt;约束名&gt; [CASCADE] [DROP|KEEP INDEX]的语法实现。</w:t>
                  </w:r>
                  <w:r>
                    <w:br/>
                  </w:r>
                  <w:r>
                    <w:rPr>
                      <w:rFonts w:ascii="仿宋_GB2312" w:hAnsi="仿宋_GB2312" w:cs="仿宋_GB2312" w:eastAsia="仿宋_GB2312"/>
                      <w:sz w:val="24"/>
                      <w:color w:val="000000"/>
                    </w:rPr>
                    <w:t>8、兼容性 ▲兼容Oracle唯一索引的NULL值处理方式，包括单列唯一索引可插入多个NULL值，以及多列唯一索引可插入多个所有列为NULL值。</w:t>
                  </w:r>
                  <w:r>
                    <w:br/>
                  </w:r>
                  <w:r>
                    <w:rPr>
                      <w:rFonts w:ascii="仿宋_GB2312" w:hAnsi="仿宋_GB2312" w:cs="仿宋_GB2312" w:eastAsia="仿宋_GB2312"/>
                      <w:sz w:val="24"/>
                      <w:color w:val="000000"/>
                    </w:rPr>
                    <w:t>9、支持与Oracle DBMS_PARALLEL_EXECUTE包的兼容性，实现数据分片功能；兼容DBMS_SPACE（管理存储空间）包的UNUSED_SPACE（获取未使用的空间信息）、FREE_BLOCKS（获取空闲块信息）和SPACE_USAGE（分析空间使用情况）功能。</w:t>
                  </w:r>
                  <w:r>
                    <w:br/>
                  </w:r>
                  <w:r>
                    <w:rPr>
                      <w:rFonts w:ascii="仿宋_GB2312" w:hAnsi="仿宋_GB2312" w:cs="仿宋_GB2312" w:eastAsia="仿宋_GB2312"/>
                      <w:sz w:val="24"/>
                      <w:color w:val="000000"/>
                    </w:rPr>
                    <w:t xml:space="preserve">10、性能效率 在双路国产处理器平台上，每轮以100个仓库和200个终端进行10分钟的TPCC基准测试，至少进行3轮，测试结果均可达到150万tpmC以上。 </w:t>
                  </w:r>
                  <w:r>
                    <w:br/>
                  </w:r>
                  <w:r>
                    <w:rPr>
                      <w:rFonts w:ascii="仿宋_GB2312" w:hAnsi="仿宋_GB2312" w:cs="仿宋_GB2312" w:eastAsia="仿宋_GB2312"/>
                      <w:sz w:val="24"/>
                      <w:color w:val="000000"/>
                    </w:rPr>
                    <w:t>11、具备分组查询优化能力，在单张500万数据量表的全表分组查询场景下，经过至少3次测试验证，优化前平均查询时间≤700毫秒，优化后≤400毫秒，性能提升≥75%。</w:t>
                  </w:r>
                  <w:r>
                    <w:br/>
                  </w:r>
                  <w:r>
                    <w:rPr>
                      <w:rFonts w:ascii="仿宋_GB2312" w:hAnsi="仿宋_GB2312" w:cs="仿宋_GB2312" w:eastAsia="仿宋_GB2312"/>
                      <w:sz w:val="24"/>
                      <w:color w:val="000000"/>
                    </w:rPr>
                    <w:t>12、集群管理 支持一主多备，支持同步备机和异步备机等多种方式；支持数据零丢失；支持通过系统进程将故障节点重新启动并自动加入集群，且历史数据自动同步；支持备机只读操作；支持备机中临时表的增加、删除、修改操作；支持列存表的创建、删除、修改与查询等操作。</w:t>
                  </w:r>
                  <w:r>
                    <w:br/>
                  </w:r>
                  <w:r>
                    <w:rPr>
                      <w:rFonts w:ascii="仿宋_GB2312" w:hAnsi="仿宋_GB2312" w:cs="仿宋_GB2312" w:eastAsia="仿宋_GB2312"/>
                      <w:sz w:val="24"/>
                      <w:color w:val="000000"/>
                    </w:rPr>
                    <w:t xml:space="preserve">13、▲共享存储集群的自动存储管理（ASM）支持镜像和条带化功能。用户可以在集群上新建镜像磁盘组，并查看磁盘组的故障组信息和磁盘信息。同时，也可以创建带有镜像和条带属性的数据文件，并通过查询操作获取到镜像属性和条带化信息。 </w:t>
                  </w:r>
                  <w:r>
                    <w:br/>
                  </w:r>
                  <w:r>
                    <w:rPr>
                      <w:rFonts w:ascii="仿宋_GB2312" w:hAnsi="仿宋_GB2312" w:cs="仿宋_GB2312" w:eastAsia="仿宋_GB2312"/>
                      <w:sz w:val="24"/>
                      <w:color w:val="000000"/>
                    </w:rPr>
                    <w:t>14、▲支持RAFT协议的主备集群，具备主库故障时自动选主的功能，备库故障不会影响业务运行，并可创建不支持查询用户表的特殊副本。</w:t>
                  </w:r>
                  <w:r>
                    <w:br/>
                  </w:r>
                  <w:r>
                    <w:rPr>
                      <w:rFonts w:ascii="仿宋_GB2312" w:hAnsi="仿宋_GB2312" w:cs="仿宋_GB2312" w:eastAsia="仿宋_GB2312"/>
                      <w:sz w:val="24"/>
                      <w:color w:val="000000"/>
                    </w:rPr>
                    <w:t>15、可维护性 支持全库加密，可以在数据库初始化时配置加密选项，类型包括：DES_ECB、DES_CBC等；支持多种身份鉴别，支持基于主机操作系统、口令等身份鉴别方式。</w:t>
                  </w:r>
                  <w:r>
                    <w:br/>
                  </w:r>
                  <w:r>
                    <w:rPr>
                      <w:rFonts w:ascii="仿宋_GB2312" w:hAnsi="仿宋_GB2312" w:cs="仿宋_GB2312" w:eastAsia="仿宋_GB2312"/>
                      <w:sz w:val="24"/>
                      <w:color w:val="000000"/>
                    </w:rPr>
                    <w:t>16、可移植性 支持跨平台迁移，支持国产数据库、Oracle等主流数据库的双向平滑迁移，支持文件迁移，支持图形化向导式迁移模式以及迁移异常信息记录和保存、配置迁移策略和并行化数据迁移、批量数据快速加载方式、命令行式迁移模式、文件迁移、双向迁移。</w:t>
                  </w:r>
                  <w:r>
                    <w:br/>
                  </w:r>
                  <w:r>
                    <w:rPr>
                      <w:rFonts w:ascii="仿宋_GB2312" w:hAnsi="仿宋_GB2312" w:cs="仿宋_GB2312" w:eastAsia="仿宋_GB2312"/>
                      <w:sz w:val="24"/>
                      <w:color w:val="000000"/>
                    </w:rPr>
                    <w:t>17、安全性 提供命令行客户端及基于跨平台风格统一的全图形化客户端工具，包括数据库对象管理、SQL开发、数据迁移、性能监视、数据库配置等多种图形化工具，并提供PL/SQL调试工具。</w:t>
                  </w:r>
                  <w:r>
                    <w:br/>
                  </w:r>
                  <w:r>
                    <w:rPr>
                      <w:rFonts w:ascii="仿宋_GB2312" w:hAnsi="仿宋_GB2312" w:cs="仿宋_GB2312" w:eastAsia="仿宋_GB2312"/>
                      <w:sz w:val="24"/>
                      <w:color w:val="000000"/>
                    </w:rPr>
                    <w:t>18、▲支持限制数据库管理员对未经授权的业务表执行DML操作，同时也限制其进行权限管理操作。</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06</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网络管理平台</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1、系统采用B/S架构，支持组件化配置授权，可以根据业务按需选择不同类型的浏览器；</w:t>
                  </w:r>
                  <w:r>
                    <w:br/>
                  </w:r>
                  <w:r>
                    <w:rPr>
                      <w:rFonts w:ascii="仿宋_GB2312" w:hAnsi="仿宋_GB2312" w:cs="仿宋_GB2312" w:eastAsia="仿宋_GB2312"/>
                      <w:sz w:val="24"/>
                      <w:color w:val="000000"/>
                    </w:rPr>
                    <w:t>2、支持单机部署、集群部署等多种方式；</w:t>
                  </w:r>
                  <w:r>
                    <w:br/>
                  </w:r>
                  <w:r>
                    <w:rPr>
                      <w:rFonts w:ascii="仿宋_GB2312" w:hAnsi="仿宋_GB2312" w:cs="仿宋_GB2312" w:eastAsia="仿宋_GB2312"/>
                      <w:sz w:val="24"/>
                      <w:color w:val="000000"/>
                    </w:rPr>
                    <w:t>3、▲支持对LAN交换机、WAN网关、WLAN无线三网设备融合管理，提供实际功能截图并加盖软件系统原厂公章；</w:t>
                  </w:r>
                  <w:r>
                    <w:br/>
                  </w:r>
                  <w:r>
                    <w:rPr>
                      <w:rFonts w:ascii="仿宋_GB2312" w:hAnsi="仿宋_GB2312" w:cs="仿宋_GB2312" w:eastAsia="仿宋_GB2312"/>
                      <w:sz w:val="24"/>
                      <w:color w:val="000000"/>
                    </w:rPr>
                    <w:t>4、支持自动化网络部署，实现网络设备自动化配置下发，实现网络快速业务上线；</w:t>
                  </w:r>
                  <w:r>
                    <w:br/>
                  </w:r>
                  <w:r>
                    <w:rPr>
                      <w:rFonts w:ascii="仿宋_GB2312" w:hAnsi="仿宋_GB2312" w:cs="仿宋_GB2312" w:eastAsia="仿宋_GB2312"/>
                      <w:sz w:val="24"/>
                      <w:color w:val="000000"/>
                    </w:rPr>
                    <w:t>5、一套软件实现SDN网络与无线网络一体化管理，包括统一管理，统一策略，统一转发，统一拓扑呈现，提供实际功能截图并加盖软件系统原厂公章；</w:t>
                  </w:r>
                  <w:r>
                    <w:br/>
                  </w:r>
                  <w:r>
                    <w:rPr>
                      <w:rFonts w:ascii="仿宋_GB2312" w:hAnsi="仿宋_GB2312" w:cs="仿宋_GB2312" w:eastAsia="仿宋_GB2312"/>
                      <w:sz w:val="24"/>
                      <w:color w:val="000000"/>
                    </w:rPr>
                    <w:t>6、支持图形化IP地址池管理，实现IP地址画像管理，并可查看相关信息，如发生冲突的IP地址、获取IP地址失败的终端、地址池利用率、IP分配次数分布等；</w:t>
                  </w:r>
                  <w:r>
                    <w:br/>
                  </w:r>
                  <w:r>
                    <w:rPr>
                      <w:rFonts w:ascii="仿宋_GB2312" w:hAnsi="仿宋_GB2312" w:cs="仿宋_GB2312" w:eastAsia="仿宋_GB2312"/>
                      <w:sz w:val="24"/>
                      <w:color w:val="000000"/>
                    </w:rPr>
                    <w:t>7、支持对交换机的配置修改、版本升级、设备替换、端口配置、VLAN配置等功能；</w:t>
                  </w:r>
                  <w:r>
                    <w:br/>
                  </w:r>
                  <w:r>
                    <w:rPr>
                      <w:rFonts w:ascii="仿宋_GB2312" w:hAnsi="仿宋_GB2312" w:cs="仿宋_GB2312" w:eastAsia="仿宋_GB2312"/>
                      <w:sz w:val="24"/>
                      <w:color w:val="000000"/>
                    </w:rPr>
                    <w:t>8、支持对无线设备进行配置、替换、重启、移动、升级等功能操作；</w:t>
                  </w:r>
                  <w:r>
                    <w:br/>
                  </w:r>
                  <w:r>
                    <w:rPr>
                      <w:rFonts w:ascii="仿宋_GB2312" w:hAnsi="仿宋_GB2312" w:cs="仿宋_GB2312" w:eastAsia="仿宋_GB2312"/>
                      <w:sz w:val="24"/>
                      <w:color w:val="000000"/>
                    </w:rPr>
                    <w:t>9、▲为保障系统安全性，支持与外部安全感知平台/AF联动，当安全设备识别异常终端并加入黑名单，提供实际功能截图并加盖软件系统原厂公章；</w:t>
                  </w:r>
                  <w:r>
                    <w:br/>
                  </w:r>
                  <w:r>
                    <w:rPr>
                      <w:rFonts w:ascii="仿宋_GB2312" w:hAnsi="仿宋_GB2312" w:cs="仿宋_GB2312" w:eastAsia="仿宋_GB2312"/>
                      <w:sz w:val="24"/>
                      <w:color w:val="000000"/>
                    </w:rPr>
                    <w:t>10、▲支持东西向流量安全防护，实现对安全端口组和组间访问行为进行可视化呈现和管控，保障单位内安全组间安全访问控制，提供实际功能截图并加盖软件系统原厂公章；</w:t>
                  </w:r>
                  <w:r>
                    <w:br/>
                  </w:r>
                  <w:r>
                    <w:rPr>
                      <w:rFonts w:ascii="仿宋_GB2312" w:hAnsi="仿宋_GB2312" w:cs="仿宋_GB2312" w:eastAsia="仿宋_GB2312"/>
                      <w:sz w:val="24"/>
                      <w:color w:val="000000"/>
                    </w:rPr>
                    <w:t>11、APP管理：支持移动APP运维，支持呈现AP接入点状态、接入点管理、无线网络、交换机状态、交换机管理、安全状态、本地用户、二维码审核、角色授权等，提供实际功能截图并加盖软件系统原厂公章；</w:t>
                  </w:r>
                  <w:r>
                    <w:br/>
                  </w:r>
                  <w:r>
                    <w:rPr>
                      <w:rFonts w:ascii="仿宋_GB2312" w:hAnsi="仿宋_GB2312" w:cs="仿宋_GB2312" w:eastAsia="仿宋_GB2312"/>
                      <w:sz w:val="24"/>
                      <w:color w:val="000000"/>
                    </w:rPr>
                    <w:t>12、▲硬件配置：考虑到单位数据安全问题，本次采用本地化部署，配置本次SDN管理平台所需硬件资源，满足SDN平台稳定运行；</w:t>
                  </w:r>
                  <w:r>
                    <w:br/>
                  </w:r>
                  <w:r>
                    <w:rPr>
                      <w:rFonts w:ascii="仿宋_GB2312" w:hAnsi="仿宋_GB2312" w:cs="仿宋_GB2312" w:eastAsia="仿宋_GB2312"/>
                      <w:sz w:val="24"/>
                      <w:color w:val="000000"/>
                    </w:rPr>
                    <w:t>13、所投产品需具备软件著作权证书（提供产品软件著作权并加盖原厂公章）；</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07</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网络准入认证平台</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1、系统采用B/S架构，适配主流浏览器；</w:t>
                  </w:r>
                  <w:r>
                    <w:br/>
                  </w:r>
                  <w:r>
                    <w:rPr>
                      <w:rFonts w:ascii="仿宋_GB2312" w:hAnsi="仿宋_GB2312" w:cs="仿宋_GB2312" w:eastAsia="仿宋_GB2312"/>
                      <w:sz w:val="24"/>
                      <w:color w:val="000000"/>
                    </w:rPr>
                    <w:t>2、平台最大管理账号数不低于50000，在线用户数量可达8000；</w:t>
                  </w:r>
                  <w:r>
                    <w:br/>
                  </w:r>
                  <w:r>
                    <w:rPr>
                      <w:rFonts w:ascii="仿宋_GB2312" w:hAnsi="仿宋_GB2312" w:cs="仿宋_GB2312" w:eastAsia="仿宋_GB2312"/>
                      <w:sz w:val="24"/>
                      <w:color w:val="000000"/>
                    </w:rPr>
                    <w:t>3、平台应持802.1x、Portal、MAC地址认证、CA证书认证、802.1X WEP等企业认证；平台应支持二维码审核认证、短信认证、APP认证、临时访客账号等访客认证方式；</w:t>
                  </w:r>
                  <w:r>
                    <w:br/>
                  </w:r>
                  <w:r>
                    <w:rPr>
                      <w:rFonts w:ascii="仿宋_GB2312" w:hAnsi="仿宋_GB2312" w:cs="仿宋_GB2312" w:eastAsia="仿宋_GB2312"/>
                      <w:sz w:val="24"/>
                      <w:color w:val="000000"/>
                    </w:rPr>
                    <w:t>4、支持对接钉钉、企业微信等做基于OAuth2.0协议的用户认证，以实现多用户认证可靠、安全且高效的认证管理，提供实际功能截图并加盖软件系统原厂公章；</w:t>
                  </w:r>
                  <w:r>
                    <w:br/>
                  </w:r>
                  <w:r>
                    <w:rPr>
                      <w:rFonts w:ascii="仿宋_GB2312" w:hAnsi="仿宋_GB2312" w:cs="仿宋_GB2312" w:eastAsia="仿宋_GB2312"/>
                      <w:sz w:val="24"/>
                      <w:color w:val="000000"/>
                    </w:rPr>
                    <w:t>5、为更好地对不同类型终端进行针对性认证，平台应支持接入终端操作系统智能识别，能识别安卓、ios、Windows移动终端、Windows PC、macOS的PC等接入终端；</w:t>
                  </w:r>
                  <w:r>
                    <w:br/>
                  </w:r>
                  <w:r>
                    <w:rPr>
                      <w:rFonts w:ascii="仿宋_GB2312" w:hAnsi="仿宋_GB2312" w:cs="仿宋_GB2312" w:eastAsia="仿宋_GB2312"/>
                      <w:sz w:val="24"/>
                      <w:color w:val="000000"/>
                    </w:rPr>
                    <w:t>6、为更好地帮助单位推广媒体，平台应提供认证推广功能，可以支持抖音、快手、B站等主流媒体平台跳转，提供配置截图证明；</w:t>
                  </w:r>
                  <w:r>
                    <w:br/>
                  </w:r>
                  <w:r>
                    <w:rPr>
                      <w:rFonts w:ascii="仿宋_GB2312" w:hAnsi="仿宋_GB2312" w:cs="仿宋_GB2312" w:eastAsia="仿宋_GB2312"/>
                      <w:sz w:val="24"/>
                      <w:color w:val="000000"/>
                    </w:rPr>
                    <w:t>7、为保障无线认证体验统一，平台需支持兼容多品牌设备统一认证，兼容的软件系统开发商包括但不限于华三、华为、锐捷、思科、信锐、Aruba、Ruckus等至少3家，提供实际功能截图并加盖软件系统原厂公章；</w:t>
                  </w:r>
                  <w:r>
                    <w:br/>
                  </w:r>
                  <w:r>
                    <w:rPr>
                      <w:rFonts w:ascii="仿宋_GB2312" w:hAnsi="仿宋_GB2312" w:cs="仿宋_GB2312" w:eastAsia="仿宋_GB2312"/>
                      <w:sz w:val="24"/>
                      <w:color w:val="000000"/>
                    </w:rPr>
                    <w:t>8、为更好地为用户提供认证推广服务，支持灵活的设置Portal认证页面内容，可基于接入位置、终端类型、MAC地址、用户名、运营商等信息呈现不同的Portal认证页面，提供实际功能截图并加盖软件系统原厂公章；</w:t>
                  </w:r>
                  <w:r>
                    <w:br/>
                  </w:r>
                  <w:r>
                    <w:rPr>
                      <w:rFonts w:ascii="仿宋_GB2312" w:hAnsi="仿宋_GB2312" w:cs="仿宋_GB2312" w:eastAsia="仿宋_GB2312"/>
                      <w:sz w:val="24"/>
                      <w:color w:val="000000"/>
                    </w:rPr>
                    <w:t>9、软件配置：考虑到项目中实际使用人数及一定冗余性，配置统一认证平台软件，并实际配置不少于3000个终端准入授权；</w:t>
                  </w:r>
                  <w:r>
                    <w:br/>
                  </w:r>
                  <w:r>
                    <w:rPr>
                      <w:rFonts w:ascii="仿宋_GB2312" w:hAnsi="仿宋_GB2312" w:cs="仿宋_GB2312" w:eastAsia="仿宋_GB2312"/>
                      <w:sz w:val="24"/>
                      <w:color w:val="000000"/>
                    </w:rPr>
                    <w:t>10、硬件配置：为了保证系统安全，要求采用本地化部署方式，配置统一认证平台所需硬件资源，满足统一认证平台稳定运行；</w:t>
                  </w:r>
                  <w:r>
                    <w:br/>
                  </w:r>
                  <w:r>
                    <w:rPr>
                      <w:rFonts w:ascii="仿宋_GB2312" w:hAnsi="仿宋_GB2312" w:cs="仿宋_GB2312" w:eastAsia="仿宋_GB2312"/>
                      <w:sz w:val="24"/>
                      <w:color w:val="000000"/>
                    </w:rPr>
                    <w:t>11、为保证产品软件成熟度，软件厂商需具备CMMI5级证书（提供证书复印件证明并加盖原厂公章）；</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08</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智能网络分析平台</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1、系统使用B/S架构，基于主流Web浏览器进行界面展示呈现，方便管理员实时掌握网络状况；</w:t>
                  </w:r>
                  <w:r>
                    <w:br/>
                  </w:r>
                  <w:r>
                    <w:rPr>
                      <w:rFonts w:ascii="仿宋_GB2312" w:hAnsi="仿宋_GB2312" w:cs="仿宋_GB2312" w:eastAsia="仿宋_GB2312"/>
                      <w:sz w:val="24"/>
                      <w:color w:val="000000"/>
                    </w:rPr>
                    <w:t>2、▲无线健康度：提供无线网络健康度评估体系，通过对接入成功率、DHCP获取、地址检测成功率、DNS质量等多维度指标进行无线网络健康度评估，并给出影响排名的劣化指标；支持劣化指标钻取能力，并给出指标劣化的根因和排障建议。提供实际功能截图并加盖软件系统原厂公章</w:t>
                  </w:r>
                  <w:r>
                    <w:br/>
                  </w:r>
                  <w:r>
                    <w:rPr>
                      <w:rFonts w:ascii="仿宋_GB2312" w:hAnsi="仿宋_GB2312" w:cs="仿宋_GB2312" w:eastAsia="仿宋_GB2312"/>
                      <w:sz w:val="24"/>
                      <w:color w:val="000000"/>
                    </w:rPr>
                    <w:t>3、▲有线健康度：提供有线网络健康度评估体系，通过对设备运行质量、业务质量、设备性能质量、设备安全状态等多维度指标进行有线网络健康度评估，主动识别出影响网络质量的主要问题，并给出问题的业务影响、根因和排障建议。提供实际功能截图并加盖软件系统原厂公章</w:t>
                  </w:r>
                  <w:r>
                    <w:br/>
                  </w:r>
                  <w:r>
                    <w:rPr>
                      <w:rFonts w:ascii="仿宋_GB2312" w:hAnsi="仿宋_GB2312" w:cs="仿宋_GB2312" w:eastAsia="仿宋_GB2312"/>
                      <w:sz w:val="24"/>
                      <w:color w:val="000000"/>
                    </w:rPr>
                    <w:t>4、健康度报告：支持生成健康度评估报告，报告中包括全网资源概况、用户概览、质量概况，以及指标详情和整改建议，支持立即下载查看，便于管理员实时掌握网络状况。提供实际功能截图并加盖软件系统原厂公章</w:t>
                  </w:r>
                  <w:r>
                    <w:br/>
                  </w:r>
                  <w:r>
                    <w:rPr>
                      <w:rFonts w:ascii="仿宋_GB2312" w:hAnsi="仿宋_GB2312" w:cs="仿宋_GB2312" w:eastAsia="仿宋_GB2312"/>
                      <w:sz w:val="24"/>
                      <w:color w:val="000000"/>
                    </w:rPr>
                    <w:t>5、系统支持对网络环境、设备、配置等主要问题进行识别，帮忙管理员主动识别出网络中可能存在的问题，并提供问题或事件列表；</w:t>
                  </w:r>
                  <w:r>
                    <w:br/>
                  </w:r>
                  <w:r>
                    <w:rPr>
                      <w:rFonts w:ascii="仿宋_GB2312" w:hAnsi="仿宋_GB2312" w:cs="仿宋_GB2312" w:eastAsia="仿宋_GB2312"/>
                      <w:sz w:val="24"/>
                      <w:color w:val="000000"/>
                    </w:rPr>
                    <w:t>6、▲系统支持将用户设置成VIP用户，重点保障VIP用户的接入体验，提供实际功能截图并加盖软件系统原厂公章</w:t>
                  </w:r>
                  <w:r>
                    <w:br/>
                  </w:r>
                  <w:r>
                    <w:rPr>
                      <w:rFonts w:ascii="仿宋_GB2312" w:hAnsi="仿宋_GB2312" w:cs="仿宋_GB2312" w:eastAsia="仿宋_GB2312"/>
                      <w:sz w:val="24"/>
                      <w:color w:val="000000"/>
                    </w:rPr>
                    <w:t>7、系统支持基于用户接入的关联、认证（802.1x 认证、Portal 认证、MAC 认证）、DHCP 三个阶段，进行协议级别的过程呈现，通过细化各个协议交互阶段结果与耗时，提供用户接入过程问题的精细化分析；</w:t>
                  </w:r>
                  <w:r>
                    <w:br/>
                  </w:r>
                  <w:r>
                    <w:rPr>
                      <w:rFonts w:ascii="仿宋_GB2312" w:hAnsi="仿宋_GB2312" w:cs="仿宋_GB2312" w:eastAsia="仿宋_GB2312"/>
                      <w:sz w:val="24"/>
                      <w:color w:val="000000"/>
                    </w:rPr>
                    <w:t>8、▲为更全面地巡检网络，系统需支持至少1000巡检项，便于对网络进行更全面的巡检，需提供相关截图并加盖原厂公章；</w:t>
                  </w:r>
                  <w:r>
                    <w:br/>
                  </w:r>
                  <w:r>
                    <w:rPr>
                      <w:rFonts w:ascii="仿宋_GB2312" w:hAnsi="仿宋_GB2312" w:cs="仿宋_GB2312" w:eastAsia="仿宋_GB2312"/>
                      <w:sz w:val="24"/>
                      <w:color w:val="000000"/>
                    </w:rPr>
                    <w:t>9、为更好地保障网络的稳定运行，系统需支持7*24小时主动巡检功能，覆盖设备、网络状态、设备运行情况、服务状态等巡检项目，需提供相关截图并加盖原厂公章；</w:t>
                  </w:r>
                  <w:r>
                    <w:br/>
                  </w:r>
                  <w:r>
                    <w:rPr>
                      <w:rFonts w:ascii="仿宋_GB2312" w:hAnsi="仿宋_GB2312" w:cs="仿宋_GB2312" w:eastAsia="仿宋_GB2312"/>
                      <w:sz w:val="24"/>
                      <w:color w:val="000000"/>
                    </w:rPr>
                    <w:t>10、▲为更好地帮助用户解决异常问题，系统需支持至少1000个异常处置建议，帮助用户精准识别异常问题并给出针对性的修复建议；提供实际功能截图并加盖软件系统原厂公章</w:t>
                  </w:r>
                  <w:r>
                    <w:br/>
                  </w:r>
                  <w:r>
                    <w:rPr>
                      <w:rFonts w:ascii="仿宋_GB2312" w:hAnsi="仿宋_GB2312" w:cs="仿宋_GB2312" w:eastAsia="仿宋_GB2312"/>
                      <w:sz w:val="24"/>
                      <w:color w:val="000000"/>
                    </w:rPr>
                    <w:t>11、▲为更好地保障无线体验，系统应提供智能无线自动调优功能，在不影响业务的情况下，能够基于历史无线数据，进行射频资源调优，支持查看调优记录；提供实际功能截图并加盖软件系统原厂公章</w:t>
                  </w:r>
                  <w:r>
                    <w:br/>
                  </w:r>
                  <w:r>
                    <w:rPr>
                      <w:rFonts w:ascii="仿宋_GB2312" w:hAnsi="仿宋_GB2312" w:cs="仿宋_GB2312" w:eastAsia="仿宋_GB2312"/>
                      <w:sz w:val="24"/>
                      <w:color w:val="000000"/>
                    </w:rPr>
                    <w:t>12、▲系统需支持应用识别技术，支持识别至少6000种主流应用，同时支持自定义业务类型，从而针对性应用进行管理；</w:t>
                  </w:r>
                  <w:r>
                    <w:br/>
                  </w:r>
                  <w:r>
                    <w:rPr>
                      <w:rFonts w:ascii="仿宋_GB2312" w:hAnsi="仿宋_GB2312" w:cs="仿宋_GB2312" w:eastAsia="仿宋_GB2312"/>
                      <w:sz w:val="24"/>
                      <w:color w:val="000000"/>
                    </w:rPr>
                    <w:t>13、为更好地保障关键业务/应用体验，系统支持对关键业务的访问质量进行评估，包括但不限于丢包、抖动、延时、连通性、服务器繁忙等指标，从而帮助用户对关键业务进行排障；</w:t>
                  </w:r>
                  <w:r>
                    <w:br/>
                  </w:r>
                  <w:r>
                    <w:rPr>
                      <w:rFonts w:ascii="仿宋_GB2312" w:hAnsi="仿宋_GB2312" w:cs="仿宋_GB2312" w:eastAsia="仿宋_GB2312"/>
                      <w:sz w:val="24"/>
                      <w:color w:val="000000"/>
                    </w:rPr>
                    <w:t>14、软件配置：配置智能分析平台软件，配置满足本次项目中所有AP、交换机数量的智能分析授权，包含但不限于智能应用识别、智能无线调优等高级功能；</w:t>
                  </w:r>
                  <w:r>
                    <w:br/>
                  </w:r>
                  <w:r>
                    <w:rPr>
                      <w:rFonts w:ascii="仿宋_GB2312" w:hAnsi="仿宋_GB2312" w:cs="仿宋_GB2312" w:eastAsia="仿宋_GB2312"/>
                      <w:sz w:val="24"/>
                      <w:color w:val="000000"/>
                    </w:rPr>
                    <w:t>15、▲部署配置：考虑到数据的安全性，本次采购的软件平台要求本地化部署，配置智能分析平台所包含的硬件资源，满足智能分析软件平台的稳定运行。</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09</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终端分析管理组件</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1、系统采用B/S架构，适配主流浏览器；</w:t>
                  </w:r>
                  <w:r>
                    <w:br/>
                  </w:r>
                  <w:r>
                    <w:rPr>
                      <w:rFonts w:ascii="仿宋_GB2312" w:hAnsi="仿宋_GB2312" w:cs="仿宋_GB2312" w:eastAsia="仿宋_GB2312"/>
                      <w:sz w:val="24"/>
                      <w:color w:val="000000"/>
                    </w:rPr>
                    <w:t>2、▲支持主流终端类型识别，例如：办公设备（视频会议设备、VOIP电话设备等）、打印机或扫描仪、摄像头、电视盒子、移动终端、路由器等（提供组件终端识别库截图证明并加盖原厂公章）；</w:t>
                  </w:r>
                  <w:r>
                    <w:br/>
                  </w:r>
                  <w:r>
                    <w:rPr>
                      <w:rFonts w:ascii="仿宋_GB2312" w:hAnsi="仿宋_GB2312" w:cs="仿宋_GB2312" w:eastAsia="仿宋_GB2312"/>
                      <w:sz w:val="24"/>
                      <w:color w:val="000000"/>
                    </w:rPr>
                    <w:t>3、支持基于终端类型进行准入控制，可对非指定类型终端非法接入，通过短信通知、手机APP通知，并同时将终端加入黑名单冻结；</w:t>
                  </w:r>
                  <w:r>
                    <w:br/>
                  </w:r>
                  <w:r>
                    <w:rPr>
                      <w:rFonts w:ascii="仿宋_GB2312" w:hAnsi="仿宋_GB2312" w:cs="仿宋_GB2312" w:eastAsia="仿宋_GB2312"/>
                      <w:sz w:val="24"/>
                      <w:color w:val="000000"/>
                    </w:rPr>
                    <w:t>4、支持自定义终端指纹特征，可快速添加新类型终端入库，保证终端识别的准确性；</w:t>
                  </w:r>
                  <w:r>
                    <w:br/>
                  </w:r>
                  <w:r>
                    <w:rPr>
                      <w:rFonts w:ascii="仿宋_GB2312" w:hAnsi="仿宋_GB2312" w:cs="仿宋_GB2312" w:eastAsia="仿宋_GB2312"/>
                      <w:sz w:val="24"/>
                      <w:color w:val="000000"/>
                    </w:rPr>
                    <w:t>5、支持基于时间、逻辑区域、服务类型、访问状态、攻击类型等多个维度统计访问终端和被访问终端的详细信息；</w:t>
                  </w:r>
                  <w:r>
                    <w:br/>
                  </w:r>
                  <w:r>
                    <w:rPr>
                      <w:rFonts w:ascii="仿宋_GB2312" w:hAnsi="仿宋_GB2312" w:cs="仿宋_GB2312" w:eastAsia="仿宋_GB2312"/>
                      <w:sz w:val="24"/>
                      <w:color w:val="000000"/>
                    </w:rPr>
                    <w:t>6、支持查看终端MAC地址、终端IP地址、终端类型、最近接入交换机端口、最近接入时间，并可详细查看该终端活跃状态、安全事件、流量趋势（提供实际功能截图并加盖软件系统原厂公章）；</w:t>
                  </w:r>
                  <w:r>
                    <w:br/>
                  </w:r>
                  <w:r>
                    <w:rPr>
                      <w:rFonts w:ascii="仿宋_GB2312" w:hAnsi="仿宋_GB2312" w:cs="仿宋_GB2312" w:eastAsia="仿宋_GB2312"/>
                      <w:sz w:val="24"/>
                      <w:color w:val="000000"/>
                    </w:rPr>
                    <w:t>7、支持关闭终端不必要的端口服务，创建交换机和无线AP的东西向流量安全策略，实现全网安全风险拦截，实现内网终端之间风险拦截；</w:t>
                  </w:r>
                  <w:r>
                    <w:br/>
                  </w:r>
                  <w:r>
                    <w:rPr>
                      <w:rFonts w:ascii="仿宋_GB2312" w:hAnsi="仿宋_GB2312" w:cs="仿宋_GB2312" w:eastAsia="仿宋_GB2312"/>
                      <w:sz w:val="24"/>
                      <w:color w:val="000000"/>
                    </w:rPr>
                    <w:t>8、所投产品需具备软件著作权证书（提供产品软件著作权并加盖原厂公章）；</w:t>
                  </w:r>
                  <w:r>
                    <w:br/>
                  </w:r>
                  <w:r>
                    <w:rPr>
                      <w:rFonts w:ascii="仿宋_GB2312" w:hAnsi="仿宋_GB2312" w:cs="仿宋_GB2312" w:eastAsia="仿宋_GB2312"/>
                      <w:sz w:val="24"/>
                      <w:color w:val="000000"/>
                    </w:rPr>
                    <w:t>9、▲为了保证系统安全，要求采用本地化部署方式，并提供系统安装所需的硬件资源和本次项目所需的所有软件授权数量。</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办案终端</w:t>
                  </w:r>
                  <w:r>
                    <w:rPr>
                      <w:rFonts w:ascii="仿宋_GB2312" w:hAnsi="仿宋_GB2312" w:cs="仿宋_GB2312" w:eastAsia="仿宋_GB2312"/>
                      <w:sz w:val="24"/>
                      <w:color w:val="000000"/>
                      <w:shd w:fill="FFFF00" w:val="clear"/>
                    </w:rPr>
                    <w:t>●</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w:t>
                  </w:r>
                  <w:r>
                    <w:rPr>
                      <w:rFonts w:ascii="仿宋_GB2312" w:hAnsi="仿宋_GB2312" w:cs="仿宋_GB2312" w:eastAsia="仿宋_GB2312"/>
                      <w:sz w:val="24"/>
                      <w:color w:val="000000"/>
                    </w:rPr>
                    <w:t>OEM;外形:台式机;</w:t>
                  </w:r>
                  <w:r>
                    <w:br/>
                  </w:r>
                  <w:r>
                    <w:rPr>
                      <w:rFonts w:ascii="仿宋_GB2312" w:hAnsi="仿宋_GB2312" w:cs="仿宋_GB2312" w:eastAsia="仿宋_GB2312"/>
                      <w:sz w:val="24"/>
                      <w:color w:val="000000"/>
                    </w:rPr>
                    <w:t xml:space="preserve">HG-3350/16G/1T SSD/独立显卡2G/DVDRW 23.8寸显示器 </w:t>
                  </w:r>
                  <w:r>
                    <w:br/>
                  </w:r>
                  <w:r>
                    <w:rPr>
                      <w:rFonts w:ascii="仿宋_GB2312" w:hAnsi="仿宋_GB2312" w:cs="仿宋_GB2312" w:eastAsia="仿宋_GB2312"/>
                      <w:sz w:val="24"/>
                      <w:color w:val="000000"/>
                    </w:rPr>
                    <w:t>处理器</w:t>
                  </w:r>
                  <w:r>
                    <w:rPr>
                      <w:rFonts w:ascii="仿宋_GB2312" w:hAnsi="仿宋_GB2312" w:cs="仿宋_GB2312" w:eastAsia="仿宋_GB2312"/>
                      <w:sz w:val="24"/>
                      <w:color w:val="000000"/>
                    </w:rPr>
                    <w:t>:≥1颗海光HG-3350国产处理器，单CPU主频≥3.0GHz，单CPU核数≥8;</w:t>
                  </w:r>
                  <w:r>
                    <w:br/>
                  </w:r>
                  <w:r>
                    <w:rPr>
                      <w:rFonts w:ascii="仿宋_GB2312" w:hAnsi="仿宋_GB2312" w:cs="仿宋_GB2312" w:eastAsia="仿宋_GB2312"/>
                      <w:sz w:val="24"/>
                      <w:color w:val="000000"/>
                    </w:rPr>
                    <w:t>内存</w:t>
                  </w:r>
                  <w:r>
                    <w:rPr>
                      <w:rFonts w:ascii="仿宋_GB2312" w:hAnsi="仿宋_GB2312" w:cs="仿宋_GB2312" w:eastAsia="仿宋_GB2312"/>
                      <w:sz w:val="24"/>
                      <w:color w:val="000000"/>
                    </w:rPr>
                    <w:t>:≥16GB DDR4内存，≥2个内存插槽，扩展支持内存容量≥32G；硬盘:≥1块1000G SSD;支持≥1块M.2 SSD硬盘;显卡:独立显卡(R7430-2G)，可提供VGA、HDMI接口;前置USB接口：2个USB 3.0,1个USB 2.0,1个Type-C</w:t>
                  </w:r>
                  <w:r>
                    <w:br/>
                  </w:r>
                  <w:r>
                    <w:rPr>
                      <w:rFonts w:ascii="仿宋_GB2312" w:hAnsi="仿宋_GB2312" w:cs="仿宋_GB2312" w:eastAsia="仿宋_GB2312"/>
                      <w:sz w:val="24"/>
                      <w:color w:val="000000"/>
                    </w:rPr>
                    <w:t>后置</w:t>
                  </w:r>
                  <w:r>
                    <w:rPr>
                      <w:rFonts w:ascii="仿宋_GB2312" w:hAnsi="仿宋_GB2312" w:cs="仿宋_GB2312" w:eastAsia="仿宋_GB2312"/>
                      <w:sz w:val="24"/>
                      <w:color w:val="000000"/>
                    </w:rPr>
                    <w:t>USB接口：≥2个USB 2.0,4个USB 3.0,1个Type-C</w:t>
                  </w:r>
                  <w:r>
                    <w:br/>
                  </w:r>
                  <w:r>
                    <w:rPr>
                      <w:rFonts w:ascii="仿宋_GB2312" w:hAnsi="仿宋_GB2312" w:cs="仿宋_GB2312" w:eastAsia="仿宋_GB2312"/>
                      <w:sz w:val="24"/>
                      <w:color w:val="000000"/>
                    </w:rPr>
                    <w:t>硬盘接口：</w:t>
                  </w:r>
                  <w:r>
                    <w:rPr>
                      <w:rFonts w:ascii="仿宋_GB2312" w:hAnsi="仿宋_GB2312" w:cs="仿宋_GB2312" w:eastAsia="仿宋_GB2312"/>
                      <w:sz w:val="24"/>
                      <w:color w:val="000000"/>
                    </w:rPr>
                    <w:t>≥支持4个SATA接口，1个M.2接口</w:t>
                  </w:r>
                  <w:r>
                    <w:br/>
                  </w:r>
                  <w:r>
                    <w:rPr>
                      <w:rFonts w:ascii="仿宋_GB2312" w:hAnsi="仿宋_GB2312" w:cs="仿宋_GB2312" w:eastAsia="仿宋_GB2312"/>
                      <w:sz w:val="24"/>
                      <w:color w:val="000000"/>
                    </w:rPr>
                    <w:t>PCIe扩展：≥1个PCIE4.0 x16插槽,1个PCIE3.0 x16插槽,1个PCIE3.0 x8插槽,1个PCIE3.0 x4插槽</w:t>
                  </w:r>
                  <w:r>
                    <w:br/>
                  </w:r>
                  <w:r>
                    <w:rPr>
                      <w:rFonts w:ascii="仿宋_GB2312" w:hAnsi="仿宋_GB2312" w:cs="仿宋_GB2312" w:eastAsia="仿宋_GB2312"/>
                      <w:sz w:val="24"/>
                      <w:color w:val="000000"/>
                    </w:rPr>
                    <w:t>音频接口：</w:t>
                  </w:r>
                  <w:r>
                    <w:rPr>
                      <w:rFonts w:ascii="仿宋_GB2312" w:hAnsi="仿宋_GB2312" w:cs="仿宋_GB2312" w:eastAsia="仿宋_GB2312"/>
                      <w:sz w:val="24"/>
                      <w:color w:val="000000"/>
                    </w:rPr>
                    <w:t>≥前置：1个Mic in，1个headphone out；后置：1个line in，1个line out，1个Mic in</w:t>
                  </w:r>
                  <w:r>
                    <w:br/>
                  </w:r>
                  <w:r>
                    <w:rPr>
                      <w:rFonts w:ascii="仿宋_GB2312" w:hAnsi="仿宋_GB2312" w:cs="仿宋_GB2312" w:eastAsia="仿宋_GB2312"/>
                      <w:sz w:val="24"/>
                      <w:color w:val="000000"/>
                    </w:rPr>
                    <w:t>网络接口：</w:t>
                  </w:r>
                  <w:r>
                    <w:rPr>
                      <w:rFonts w:ascii="仿宋_GB2312" w:hAnsi="仿宋_GB2312" w:cs="仿宋_GB2312" w:eastAsia="仿宋_GB2312"/>
                      <w:sz w:val="24"/>
                      <w:color w:val="000000"/>
                    </w:rPr>
                    <w:t>≥2个RJ45  千 兆以太网口（10 M/100 M/1000 M自适应），支持网络唤醒</w:t>
                  </w:r>
                  <w:r>
                    <w:br/>
                  </w:r>
                  <w:r>
                    <w:rPr>
                      <w:rFonts w:ascii="仿宋_GB2312" w:hAnsi="仿宋_GB2312" w:cs="仿宋_GB2312" w:eastAsia="仿宋_GB2312"/>
                      <w:sz w:val="24"/>
                      <w:color w:val="000000"/>
                    </w:rPr>
                    <w:t>其他接口：</w:t>
                  </w:r>
                  <w:r>
                    <w:rPr>
                      <w:rFonts w:ascii="仿宋_GB2312" w:hAnsi="仿宋_GB2312" w:cs="仿宋_GB2312" w:eastAsia="仿宋_GB2312"/>
                      <w:sz w:val="24"/>
                      <w:color w:val="000000"/>
                    </w:rPr>
                    <w:t>≥1个RS232串口 ;</w:t>
                  </w:r>
                  <w:r>
                    <w:br/>
                  </w:r>
                  <w:r>
                    <w:rPr>
                      <w:rFonts w:ascii="仿宋_GB2312" w:hAnsi="仿宋_GB2312" w:cs="仿宋_GB2312" w:eastAsia="仿宋_GB2312"/>
                      <w:sz w:val="24"/>
                      <w:color w:val="000000"/>
                    </w:rPr>
                    <w:t>光驱</w:t>
                  </w:r>
                  <w:r>
                    <w:rPr>
                      <w:rFonts w:ascii="仿宋_GB2312" w:hAnsi="仿宋_GB2312" w:cs="仿宋_GB2312" w:eastAsia="仿宋_GB2312"/>
                      <w:sz w:val="24"/>
                      <w:color w:val="000000"/>
                    </w:rPr>
                    <w:t>:DVD-RW;显示器:23.8英寸液晶显示器，提供HDMI、VGA接口;</w:t>
                  </w:r>
                  <w:r>
                    <w:br/>
                  </w:r>
                  <w:r>
                    <w:rPr>
                      <w:rFonts w:ascii="仿宋_GB2312" w:hAnsi="仿宋_GB2312" w:cs="仿宋_GB2312" w:eastAsia="仿宋_GB2312"/>
                      <w:sz w:val="24"/>
                      <w:color w:val="000000"/>
                    </w:rPr>
                    <w:t>键鼠</w:t>
                  </w:r>
                  <w:r>
                    <w:rPr>
                      <w:rFonts w:ascii="仿宋_GB2312" w:hAnsi="仿宋_GB2312" w:cs="仿宋_GB2312" w:eastAsia="仿宋_GB2312"/>
                      <w:sz w:val="24"/>
                      <w:color w:val="000000"/>
                    </w:rPr>
                    <w:t>:USB键盘、USB光电鼠标;</w:t>
                  </w:r>
                  <w:r>
                    <w:br/>
                  </w:r>
                  <w:r>
                    <w:rPr>
                      <w:rFonts w:ascii="仿宋_GB2312" w:hAnsi="仿宋_GB2312" w:cs="仿宋_GB2312" w:eastAsia="仿宋_GB2312"/>
                      <w:sz w:val="24"/>
                      <w:color w:val="000000"/>
                    </w:rPr>
                    <w:t>测试认证</w:t>
                  </w:r>
                  <w:r>
                    <w:rPr>
                      <w:rFonts w:ascii="仿宋_GB2312" w:hAnsi="仿宋_GB2312" w:cs="仿宋_GB2312" w:eastAsia="仿宋_GB2312"/>
                      <w:sz w:val="24"/>
                      <w:color w:val="000000"/>
                    </w:rPr>
                    <w:t>:3C证书，节能证书，环保证书</w:t>
                  </w:r>
                  <w:r>
                    <w:br/>
                  </w:r>
                  <w:r>
                    <w:rPr>
                      <w:rFonts w:ascii="仿宋_GB2312" w:hAnsi="仿宋_GB2312" w:cs="仿宋_GB2312" w:eastAsia="仿宋_GB2312"/>
                      <w:sz w:val="24"/>
                      <w:color w:val="000000"/>
                    </w:rPr>
                    <w:t>其他</w:t>
                  </w:r>
                  <w:r>
                    <w:rPr>
                      <w:rFonts w:ascii="仿宋_GB2312" w:hAnsi="仿宋_GB2312" w:cs="仿宋_GB2312" w:eastAsia="仿宋_GB2312"/>
                      <w:sz w:val="24"/>
                      <w:color w:val="000000"/>
                    </w:rPr>
                    <w:t>:CPU须满足中国信息安全评测中心《安全可靠测评结果公告》;</w:t>
                  </w:r>
                  <w:r>
                    <w:br/>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:三年免费整机硬件保修，原厂工程师上门服务，提供原厂授权书及售后服务承诺书。</w:t>
                  </w:r>
                </w:p>
                <w:p>
                  <w:pPr>
                    <w:pStyle w:val="null3"/>
                    <w:spacing w:before="105" w:after="105"/>
                    <w:ind w:firstLine="4"/>
                    <w:jc w:val="left"/>
                  </w:pPr>
                  <w:r>
                    <w:rPr>
                      <w:rFonts w:ascii="仿宋_GB2312" w:hAnsi="仿宋_GB2312" w:cs="仿宋_GB2312" w:eastAsia="仿宋_GB2312"/>
                      <w:sz w:val="24"/>
                      <w:color w:val="000000"/>
                    </w:rPr>
                    <w:t>注：</w:t>
                  </w:r>
                  <w:r>
                    <w:rPr>
                      <w:rFonts w:ascii="仿宋_GB2312" w:hAnsi="仿宋_GB2312" w:cs="仿宋_GB2312" w:eastAsia="仿宋_GB2312"/>
                      <w:sz w:val="24"/>
                      <w:color w:val="000000"/>
                      <w:shd w:fill="FFFF00" w:val="clear"/>
                    </w:rPr>
                    <w:t>标</w:t>
                  </w:r>
                  <w:r>
                    <w:rPr>
                      <w:rFonts w:ascii="仿宋_GB2312" w:hAnsi="仿宋_GB2312" w:cs="仿宋_GB2312" w:eastAsia="仿宋_GB2312"/>
                      <w:sz w:val="24"/>
                      <w:color w:val="000000"/>
                      <w:shd w:fill="FFFF00" w:val="clear"/>
                    </w:rPr>
                    <w:t>“</w:t>
                  </w:r>
                  <w:r>
                    <w:rPr>
                      <w:rFonts w:ascii="仿宋_GB2312" w:hAnsi="仿宋_GB2312" w:cs="仿宋_GB2312" w:eastAsia="仿宋_GB2312"/>
                      <w:sz w:val="24"/>
                      <w:color w:val="000000"/>
                      <w:shd w:fill="FFFF00" w:val="clear"/>
                    </w:rPr>
                    <w:t>●</w:t>
                  </w:r>
                  <w:r>
                    <w:rPr>
                      <w:rFonts w:ascii="仿宋_GB2312" w:hAnsi="仿宋_GB2312" w:cs="仿宋_GB2312" w:eastAsia="仿宋_GB2312"/>
                      <w:sz w:val="24"/>
                      <w:color w:val="000000"/>
                      <w:shd w:fill="FFFF00" w:val="clear"/>
                    </w:rPr>
                    <w:t>”符号为本项目核心产品</w:t>
                  </w:r>
                  <w:r>
                    <w:rPr>
                      <w:rFonts w:ascii="仿宋_GB2312" w:hAnsi="仿宋_GB2312" w:cs="仿宋_GB2312" w:eastAsia="仿宋_GB2312"/>
                      <w:sz w:val="24"/>
                      <w:color w:val="000000"/>
                    </w:rPr>
                    <w:t>。</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虚拟化软件</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jc w:val="left"/>
                  </w:pPr>
                  <w:r>
                    <w:rPr>
                      <w:rFonts w:ascii="仿宋_GB2312" w:hAnsi="仿宋_GB2312" w:cs="仿宋_GB2312" w:eastAsia="仿宋_GB2312"/>
                      <w:sz w:val="24"/>
                      <w:color w:val="000000"/>
                    </w:rPr>
                    <w:t>1、本项目要求提供2套服务器虚拟化软件授权、2套虚拟化软件升级授权；须于原有工作网桌面云设备无缝对接。</w:t>
                  </w:r>
                  <w:r>
                    <w:br/>
                  </w:r>
                  <w:r>
                    <w:rPr>
                      <w:rFonts w:ascii="仿宋_GB2312" w:hAnsi="仿宋_GB2312" w:cs="仿宋_GB2312" w:eastAsia="仿宋_GB2312"/>
                      <w:sz w:val="24"/>
                      <w:color w:val="000000"/>
                    </w:rPr>
                    <w:t>2、要求平台部署既支持对接微软AD域，也支持不依赖微软AD域控的独立部署；（提供截图证明并加盖厂商公章）</w:t>
                  </w:r>
                  <w:r>
                    <w:br/>
                  </w:r>
                  <w:r>
                    <w:rPr>
                      <w:rFonts w:ascii="仿宋_GB2312" w:hAnsi="仿宋_GB2312" w:cs="仿宋_GB2312" w:eastAsia="仿宋_GB2312"/>
                      <w:sz w:val="24"/>
                      <w:color w:val="000000"/>
                    </w:rPr>
                    <w:t>3、应用虚拟化管理平台需要控制已发布的应用程序调用服务器上的第三方程序，可以设置只允许调用指定的第三方应用程序，也可以设置允许调用所有的第三方应用程序。（提供截图证明并加盖厂商公章）</w:t>
                  </w:r>
                  <w:r>
                    <w:br/>
                  </w:r>
                  <w:r>
                    <w:rPr>
                      <w:rFonts w:ascii="仿宋_GB2312" w:hAnsi="仿宋_GB2312" w:cs="仿宋_GB2312" w:eastAsia="仿宋_GB2312"/>
                      <w:sz w:val="24"/>
                      <w:color w:val="000000"/>
                    </w:rPr>
                    <w:t>4、▲应用虚拟化管理平台支持禁用用户对应用虚拟化服务器的一些高级操作权限，从而避免用户对服务器进行一些危险操作，如：禁用注册表、禁用任务管理器、禁用资源管理器、禁用控制面板、禁用CMD命令提示符、隐藏服务器本地磁盘、禁止运行等）;（提供截图证明并加盖厂商公章）</w:t>
                  </w:r>
                  <w:r>
                    <w:br/>
                  </w:r>
                  <w:r>
                    <w:rPr>
                      <w:rFonts w:ascii="仿宋_GB2312" w:hAnsi="仿宋_GB2312" w:cs="仿宋_GB2312" w:eastAsia="仿宋_GB2312"/>
                      <w:sz w:val="24"/>
                      <w:color w:val="000000"/>
                    </w:rPr>
                    <w:t>5、▲可针对使用频率较高的软件做进程加速，管理员也可自定义需加速应用进程名，以保障应用的流畅运行（提供功能配置截图并加盖厂商公章）</w:t>
                  </w:r>
                  <w:r>
                    <w:br/>
                  </w:r>
                  <w:r>
                    <w:rPr>
                      <w:rFonts w:ascii="仿宋_GB2312" w:hAnsi="仿宋_GB2312" w:cs="仿宋_GB2312" w:eastAsia="仿宋_GB2312"/>
                      <w:sz w:val="24"/>
                      <w:color w:val="000000"/>
                    </w:rPr>
                    <w:t>6、桌面云平台应支持个人虚拟磁盘功能（高速盘），通过管理界面，维护用户个人账号与虚拟化层保存的块存储文件的对应关系，提供为用户新建、分配、删除、锁定个人虚拟磁盘功能；</w:t>
                  </w:r>
                  <w:r>
                    <w:br/>
                  </w:r>
                  <w:r>
                    <w:rPr>
                      <w:rFonts w:ascii="仿宋_GB2312" w:hAnsi="仿宋_GB2312" w:cs="仿宋_GB2312" w:eastAsia="仿宋_GB2312"/>
                      <w:sz w:val="24"/>
                      <w:color w:val="000000"/>
                    </w:rPr>
                    <w:t>7、▲虚拟化平台需支持平滑滚动升级，支持群集不停机情况下的服务器逐台升级，升级时将自动迁移虚拟机至其他主机，不影响业务运行。为保障业务实时性，虚拟化平台非内核级更新支持业务不中断热升级，升级过程无需重启主机。</w:t>
                  </w:r>
                  <w:r>
                    <w:br/>
                  </w:r>
                  <w:r>
                    <w:rPr>
                      <w:rFonts w:ascii="仿宋_GB2312" w:hAnsi="仿宋_GB2312" w:cs="仿宋_GB2312" w:eastAsia="仿宋_GB2312"/>
                      <w:sz w:val="24"/>
                      <w:color w:val="000000"/>
                    </w:rPr>
                    <w:t>8、▲服务器必须配备存储虚拟化软件模块，并不限制存储容量，提供低成本、高可靠的存储方案，支持双副本或三副本机制；</w:t>
                  </w:r>
                  <w:r>
                    <w:br/>
                  </w:r>
                  <w:r>
                    <w:rPr>
                      <w:rFonts w:ascii="仿宋_GB2312" w:hAnsi="仿宋_GB2312" w:cs="仿宋_GB2312" w:eastAsia="仿宋_GB2312"/>
                      <w:sz w:val="24"/>
                      <w:color w:val="000000"/>
                    </w:rPr>
                    <w:t>9、平台需提供全局模板功能，可通过跨多个虚拟化集群使用全局模板实现云桌面统一创建、统一更新、统一管理，避免管理员需要重复维护多个相同配置的模板。</w:t>
                  </w:r>
                  <w:r>
                    <w:br/>
                  </w:r>
                  <w:r>
                    <w:rPr>
                      <w:rFonts w:ascii="仿宋_GB2312" w:hAnsi="仿宋_GB2312" w:cs="仿宋_GB2312" w:eastAsia="仿宋_GB2312"/>
                      <w:sz w:val="24"/>
                      <w:color w:val="000000"/>
                    </w:rPr>
                    <w:t>10、所投产品需支持UDP和TCP两种传输模式，根据网络条件自动实现TCP和UDP模式自适应切换；</w:t>
                  </w:r>
                  <w:r>
                    <w:br/>
                  </w:r>
                  <w:r>
                    <w:rPr>
                      <w:rFonts w:ascii="仿宋_GB2312" w:hAnsi="仿宋_GB2312" w:cs="仿宋_GB2312" w:eastAsia="仿宋_GB2312"/>
                      <w:sz w:val="24"/>
                      <w:color w:val="000000"/>
                    </w:rPr>
                    <w:t>11、虚拟应用应支持策略设置，支持剪切板双向拷贝，单向拷贝；</w:t>
                  </w:r>
                  <w:r>
                    <w:br/>
                  </w:r>
                  <w:r>
                    <w:rPr>
                      <w:rFonts w:ascii="仿宋_GB2312" w:hAnsi="仿宋_GB2312" w:cs="仿宋_GB2312" w:eastAsia="仿宋_GB2312"/>
                      <w:sz w:val="24"/>
                      <w:color w:val="000000"/>
                    </w:rPr>
                    <w:t>12、▲支持空闲虚拟机识别，通过算法分析识别一段时间内的空闲和僵尸虚拟机，并能导出统计报告，用于管理员做统计报表和分析，避免不必要的资源开销。；（提供相关证明材料并加盖厂商公章）</w:t>
                  </w:r>
                  <w:r>
                    <w:br/>
                  </w:r>
                  <w:r>
                    <w:rPr>
                      <w:rFonts w:ascii="仿宋_GB2312" w:hAnsi="仿宋_GB2312" w:cs="仿宋_GB2312" w:eastAsia="仿宋_GB2312"/>
                      <w:sz w:val="24"/>
                      <w:color w:val="000000"/>
                    </w:rPr>
                    <w:t>13、平台应可依据虚拟机/服务器/集群当前的资源占用和调度情况，量化出每个虚拟机/服务器/集群的体验和风险的综合评分，且支持查看评分趋势变化图；</w:t>
                  </w:r>
                  <w:r>
                    <w:br/>
                  </w:r>
                  <w:r>
                    <w:rPr>
                      <w:rFonts w:ascii="仿宋_GB2312" w:hAnsi="仿宋_GB2312" w:cs="仿宋_GB2312" w:eastAsia="仿宋_GB2312"/>
                      <w:sz w:val="24"/>
                      <w:color w:val="000000"/>
                    </w:rPr>
                    <w:t>提供三年产品软件升级服务。</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桌面云用户授权</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1、本项目要求提供70个VDI并发用户连接授权；</w:t>
                  </w:r>
                  <w:r>
                    <w:br/>
                  </w:r>
                  <w:r>
                    <w:rPr>
                      <w:rFonts w:ascii="仿宋_GB2312" w:hAnsi="仿宋_GB2312" w:cs="仿宋_GB2312" w:eastAsia="仿宋_GB2312"/>
                      <w:sz w:val="24"/>
                      <w:color w:val="000000"/>
                    </w:rPr>
                    <w:t>2、支持发布专有桌面、还原桌面（包括池化桌面）、共享桌面、远程应用和TCI终端至少6种桌面资源，满足不同场景的应用需求；</w:t>
                  </w:r>
                  <w:r>
                    <w:br/>
                  </w:r>
                  <w:r>
                    <w:rPr>
                      <w:rFonts w:ascii="仿宋_GB2312" w:hAnsi="仿宋_GB2312" w:cs="仿宋_GB2312" w:eastAsia="仿宋_GB2312"/>
                      <w:sz w:val="24"/>
                      <w:color w:val="000000"/>
                    </w:rPr>
                    <w:t>提供三年产品软件升级服务。</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工作网桌面云系统升级扩容</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1.负责原有工作网桌面云设备的割接与优化工作，确保业务在指定窗口期内完成割接。</w:t>
                  </w:r>
                  <w:r>
                    <w:br/>
                  </w:r>
                  <w:r>
                    <w:rPr>
                      <w:rFonts w:ascii="仿宋_GB2312" w:hAnsi="仿宋_GB2312" w:cs="仿宋_GB2312" w:eastAsia="仿宋_GB2312"/>
                      <w:sz w:val="24"/>
                      <w:color w:val="000000"/>
                    </w:rPr>
                    <w:t>2.需对工作网桌面云设备进行软件升级部署，保证本次升级扩容的桌面云管理软件需与我单位现有桌面云产品平滑对接，且支持将原有系统软件升级到与新设备软件同一版本，支持双屏显示系统，保证文书制作和材料取证可以同时进行；提供合理的实施方案，保证产品落地效果，从设备部署、数据采集、联动处置等方面进行规划设计，以满足我单位桌面云监测、分析、响应效率。</w:t>
                  </w:r>
                  <w:r>
                    <w:br/>
                  </w:r>
                  <w:r>
                    <w:rPr>
                      <w:rFonts w:ascii="仿宋_GB2312" w:hAnsi="仿宋_GB2312" w:cs="仿宋_GB2312" w:eastAsia="仿宋_GB2312"/>
                      <w:sz w:val="24"/>
                      <w:color w:val="000000"/>
                    </w:rPr>
                    <w:t>3.▲本次升级需支持平滑滚动升级，支持群集不停机情况下的服务器逐台升级，升级时将自动迁移虚拟机至其他主机，不影响业务运行。为保障业务实时性，虚拟化平台非内核级更新支持业务不中断热升级，升级过程无需重启主机。</w:t>
                  </w:r>
                  <w:r>
                    <w:br/>
                  </w:r>
                  <w:r>
                    <w:rPr>
                      <w:rFonts w:ascii="仿宋_GB2312" w:hAnsi="仿宋_GB2312" w:cs="仿宋_GB2312" w:eastAsia="仿宋_GB2312"/>
                      <w:sz w:val="24"/>
                      <w:color w:val="000000"/>
                    </w:rPr>
                    <w:t>4、▲需支持分组管理、批量移动、删除、关闭瘦终端，支持配置定时开关机计划及加电自启动功能，支持自定义开机画面、支持联动关机功能、配置自动登录和保存密码。（提供截图证明和相关证明材料并加盖厂商公章）</w:t>
                  </w:r>
                  <w:r>
                    <w:br/>
                  </w:r>
                  <w:r>
                    <w:rPr>
                      <w:rFonts w:ascii="仿宋_GB2312" w:hAnsi="仿宋_GB2312" w:cs="仿宋_GB2312" w:eastAsia="仿宋_GB2312"/>
                      <w:sz w:val="24"/>
                      <w:color w:val="000000"/>
                    </w:rPr>
                    <w:t>5、需支持扩展屏，扩展屏场景单个屏幕分辨率支持不低于1920*1080p</w:t>
                  </w:r>
                  <w:r>
                    <w:br/>
                  </w:r>
                  <w:r>
                    <w:rPr>
                      <w:rFonts w:ascii="仿宋_GB2312" w:hAnsi="仿宋_GB2312" w:cs="仿宋_GB2312" w:eastAsia="仿宋_GB2312"/>
                      <w:sz w:val="24"/>
                      <w:color w:val="000000"/>
                    </w:rPr>
                    <w:t>6、为保证执法办案终端平滑过渡升级为双屏模式，本项目需提供原有办案桌面虚拟化业务系统一年原厂软件升级和硬件质保，出具包括但不限于厂家售后服务承诺函、售后服务方案等材料</w:t>
                  </w:r>
                  <w:r>
                    <w:br/>
                  </w:r>
                  <w:r>
                    <w:rPr>
                      <w:rFonts w:ascii="仿宋_GB2312" w:hAnsi="仿宋_GB2312" w:cs="仿宋_GB2312" w:eastAsia="仿宋_GB2312"/>
                      <w:sz w:val="24"/>
                      <w:color w:val="000000"/>
                    </w:rPr>
                    <w:t>7、▲支持在终端中SBC嵌套登录，并在虚拟机内部使用同一账号自动单点登录虚拟应用资源，用户直登录终端后，直接可以打开虚拟应用资源，无需二次认证；</w:t>
                  </w:r>
                  <w:r>
                    <w:br/>
                  </w:r>
                  <w:r>
                    <w:rPr>
                      <w:rFonts w:ascii="仿宋_GB2312" w:hAnsi="仿宋_GB2312" w:cs="仿宋_GB2312" w:eastAsia="仿宋_GB2312"/>
                      <w:sz w:val="24"/>
                      <w:color w:val="000000"/>
                    </w:rPr>
                    <w:t>8、支持违规外联、移动介质管控、主机审计、打印刻录、安全登录、准入管理。</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进度款，供应⽅已按合同约定交付全部货物，并完成安装调试，通过采购⽅正式验收后，达到付款条件起30个工作日内，支付合同总金额的100.0%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验收合格后，凭双方签署的验收报告及合规发票，在约定期限内支付合同款项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质保期三年，从验收合格之⽇起计算。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供应方逾期交付或质量不符，按日承担违约金。协议不成，提交购买方所在地人民法院诉讼解决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成交供应商在采购结果发布后3个⼯作⽇内向代理机构提交纸质版投标⽂件正本1份，副本2份，电⼦版⽂件2份（以U盘为载体，电⼦版内容为签字盖章扫描后的PDF版本响应⽂）。纸质投标⽂件均须A4纸打印，分别各⾃装订成册并编制⽬录和⻚码。线下递交投标⽂件地点：陕西省汉中市汉台区供电⼤道邮局对⾯正凯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供应商需在项⽬电⼦化交易系统中按要求上传《汉中市政府采购供应商资格承诺函》并进⾏电⼦签章。</w:t>
            </w:r>
          </w:p>
        </w:tc>
        <w:tc>
          <w:tcPr>
            <w:tcW w:type="dxa" w:w="1661"/>
          </w:tcPr>
          <w:p>
            <w:pPr>
              <w:pStyle w:val="null3"/>
            </w:pPr>
            <w:r>
              <w:rPr>
                <w:rFonts w:ascii="仿宋_GB2312" w:hAnsi="仿宋_GB2312" w:cs="仿宋_GB2312" w:eastAsia="仿宋_GB2312"/>
              </w:rPr>
              <w:t>资格证明.docx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具有独⽴承担⺠事责任能⼒的法⼈、其他组织或⾃然⼈，提供合法有效的统⼀社会信⽤代码营业执照（事业单位法⼈证书/专业服务机构执业许可证/⺠办⾮企业单位登记证书，⾃然⼈提供⾝份证）；</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供应商应授权合法的⼈员参加投标全过程，其中法定代表⼈直接参加投标的，须出具法⼈⾝份证明及法⼈⾝份证，并与营业执照上信息⼀致。法定代表授权委托⼈参加投标的，须出具法定代表授权委托书及被授权代表⾝份证。</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本项⽬不接受联合体投标，不允许分包。供应商应提供《⾮联合体不分包投标声明》。</w:t>
            </w:r>
          </w:p>
        </w:tc>
        <w:tc>
          <w:tcPr>
            <w:tcW w:type="dxa" w:w="1661"/>
          </w:tcPr>
          <w:p>
            <w:pPr>
              <w:pStyle w:val="null3"/>
            </w:pPr>
            <w:r>
              <w:rPr>
                <w:rFonts w:ascii="仿宋_GB2312" w:hAnsi="仿宋_GB2312" w:cs="仿宋_GB2312" w:eastAsia="仿宋_GB2312"/>
              </w:rPr>
              <w:t>资格证明.docx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技术参数偏离表.docx 开标一览表 产品技术参数表 资格证明.docx 详细评审.docx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投标⽂件语⾔及有效期</w:t>
            </w:r>
          </w:p>
        </w:tc>
        <w:tc>
          <w:tcPr>
            <w:tcW w:type="dxa" w:w="3322"/>
          </w:tcPr>
          <w:p>
            <w:pPr>
              <w:pStyle w:val="null3"/>
            </w:pPr>
            <w:r>
              <w:rPr>
                <w:rFonts w:ascii="仿宋_GB2312" w:hAnsi="仿宋_GB2312" w:cs="仿宋_GB2312" w:eastAsia="仿宋_GB2312"/>
              </w:rPr>
              <w:t>投标⽂件语⾔及有效期符合招标⽂件要求。</w:t>
            </w:r>
          </w:p>
        </w:tc>
        <w:tc>
          <w:tcPr>
            <w:tcW w:type="dxa" w:w="1661"/>
          </w:tcPr>
          <w:p>
            <w:pPr>
              <w:pStyle w:val="null3"/>
            </w:pPr>
            <w:r>
              <w:rPr>
                <w:rFonts w:ascii="仿宋_GB2312" w:hAnsi="仿宋_GB2312" w:cs="仿宋_GB2312" w:eastAsia="仿宋_GB2312"/>
              </w:rPr>
              <w:t>技术参数偏离表.docx 开标一览表 产品技术参数表 资格证明.docx 详细评审.docx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电⼦签章</w:t>
            </w:r>
          </w:p>
        </w:tc>
        <w:tc>
          <w:tcPr>
            <w:tcW w:type="dxa" w:w="3322"/>
          </w:tcPr>
          <w:p>
            <w:pPr>
              <w:pStyle w:val="null3"/>
            </w:pPr>
            <w:r>
              <w:rPr>
                <w:rFonts w:ascii="仿宋_GB2312" w:hAnsi="仿宋_GB2312" w:cs="仿宋_GB2312" w:eastAsia="仿宋_GB2312"/>
              </w:rPr>
              <w:t>供应商电⼦签章应符合招标⽂件给出的要求</w:t>
            </w:r>
          </w:p>
        </w:tc>
        <w:tc>
          <w:tcPr>
            <w:tcW w:type="dxa" w:w="1661"/>
          </w:tcPr>
          <w:p>
            <w:pPr>
              <w:pStyle w:val="null3"/>
            </w:pPr>
            <w:r>
              <w:rPr>
                <w:rFonts w:ascii="仿宋_GB2312" w:hAnsi="仿宋_GB2312" w:cs="仿宋_GB2312" w:eastAsia="仿宋_GB2312"/>
              </w:rPr>
              <w:t>技术参数偏离表.docx 开标一览表 产品技术参数表 资格证明.docx 详细评审.docx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技术参数偏离表.docx 开标一览表 产品技术参数表 资格证明.docx 详细评审.docx 投标函 中小企业声明函 残疾人福利性单位声明函 商务应答表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供应商需提供2023年7月-今完成的同类业绩证明（以合同签订之日为准），每提供一份得2分，最高得6分； 注：（须提供中标通知书及完整合同复印件，否则不计分）。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产品技术参数、性能的满⾜程度赋分：响应产品（含配件）选型科学合理、技术先进，技术参数清晰明确，符合使⽤要求，数量准确⽆缺漏项。完全符合、响应招标⽂件要求，提供完整证明材料得44分；其中,标“▲”参数为重要参数，每有1条不满⾜扣2分。除“▲”参数外，其余参数每有1条不满⾜扣0 .5分，扣完为⽌。 注：▲号项须提供相应的指标证明文件包括但不限于制造商出具的证明文件、产品彩页、功能截图、检测报告等证明文件，不提供或不能证明的不得分。若参数指标有具体要求的按参数注明要求执⾏</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投标人针对本项目提供质量保证，质量保证包含：①实施标准及质量保证措施②产品来源渠道证明及产品质量承诺③备品备件投入计划等。 二、评审标准： 1.完整性及针对性：内容须全面，对评审内容中的各项要求有详细描述，方案能够紧扣项目实际情况，内容科学合理。 2.可实施性：切合本项目实际情况，提出步骤清晰、合理的方案。 三、赋分标准：（满分3分） ①实施标准及质量保证措施：每完全满足一项评审标准得0.5分，满分1分；（针对每条评审标准，如存在不合理的⽅⾯扣0 .25分，未提供不得分） ②产品来源渠道证明及产品质量承诺：每完全满足一项评审标准得0.5分，满分1分；（针对每条评审标准，如存在不合理的⽅⾯扣0 .25分，未提供不得分） ③备品备件投入计划：每完全满足一项评审标准得0.5分，满分1分；（针对每条评审标准，如存在不合理的⽅⾯扣0 .25分，未提供不得分）注：不合理是指虽有内容但不完善、内容表述前后不⼀致、套⽤其他项⽬⽅案或与项⽬需求不匹配及其他不利于项⽬实施的等任意⼀种情形。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供应商需针对本项⽬提供完整的项⽬实施⽅案。内容包含：①供货⽅案及措施②实施进度计划③安装、调试及验收⽅案④运输、配送⽅案及措施。⼆、评审标准1、完整性：⽅案须全⾯，对评审内容中的各项要求描述详细；2、可实施性：切合本项⽬实际情况，实施步骤清晰、合理；3、针对性 ：⽅案能够紧扣项⽬实际情况，内容科学合理。三、赋分依据（满分6分）①供货⽅案及措施：每完全满⾜⼀个评审标准得0 .5分，满分1 .5分；（针对每条评审标准，如存在不合理的⽅⾯扣0 .25分，未提供不得分）；②实施进度计划:每完全满⾜⼀个评审标准得0 .5分，满分1 .5 分；（针对每条评审标准，如存在不合理的⽅⾯扣0 .25分，未提供不得分）；③安装、调试及验收⽅案:每完全满⾜⼀个评评审标准得0 .5分，满分1 .5分；（针对每条评审标准，如存在不合理的⽅⾯扣0.25分，未提供不得分）；④运输、配送⽅案及措施 ：每完全满⾜⼀个评审标准得0 .5分， 满分1 .5分；（针对每条评审标准，如存在不合理的⽅⾯扣0 .25分，未提供不得分）。注：不合理是指虽有内容但不完善、内容表述前后不⼀致、套⽤其他项⽬⽅案或与项⽬需求不匹配及其他不利于项⽬实施的等任意⼀种情形。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评审内容针对本项⽬特点提供培训⽅案，为采购⼈培训操作维护⼈员 ，以保障使⽤过程中能熟练操作、维护和正常使⽤，培训⽅案内容包含：①培训内容及⽅式②培训计划安排。⼆、评审标准1、完整性：⽅案须全⾯，对评审内容中的各项要求有详细描述；2、可实施性：切合本项⽬实际情况，实施步骤清晰、合理；3、针对性：⽅案能够紧扣项⽬实际情况，内容科学合理 。三、赋分标准（满分3分）①培训内容及⽅式：每完全满⾜⼀个评审标准得0 .5分，满分1 .5 分；（针对每条评审标准，如存在不合理的⽅⾯扣0 .25分，未提供不得分）；②培训计划安排：每完全满⾜⼀个评审标准得0 .5分，满分1 .5 分；（针对每条评审标准，如存在不合理的⽅⾯扣0 .25分，未提供不得分）。注：不合理是指虽有内容但不完善、内容表述前后不⼀致、套⽤其他项⽬⽅案或与项⽬需求不匹配及其他不利于项⽬实施的等任意⼀种情形。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根据本项⽬实际需求提供售后服务⽅案。内容包含①售后服务内容及保障措施②响应时间及⽅式③故障处理及补救措施④定期回访及维护。⼆、评审标准1、完整性：⽅案须全⾯，对评审内容中的各项要求描述详细；2、可实施性：切合本标段实际情况，实施步骤清晰、合理；3、针对性：⽅案能够紧扣标段实际情况，内容科学合理。三、赋分依据（满分6分）①售后服务内容及保障措施：每完全满⾜⼀个评审标准得0 .5分，满分1 .5分；（针对每条评审标准 ，如存在不合理的⽅⾯扣0 .25分，未提供不得分）②响应时间及⽅式 :每完全满⾜⼀个评审标准得0 .5分 ，满分1 .5分；（针对每条评审标准，如存在不合理的⽅⾯扣0 .25分 ，未提供不得分）③故障处理及补救措施:每完全满⾜⼀个评审标准得0.5分，满分1.5分；（针对每条评审标准，如存在不合理的⽅⾯扣0.25分，未提供不得分）；④定期回访及维护:每完全满⾜⼀个评审标准得0 .5分，满分1 .5分；（针对每条评审标准，如存在不合理的⽅⾯扣0 .25分，未提供不得分）。注 ：不合理是指虽有内容但不完善、内容表述前后不⼀致、套⽤其他项⽬⽅案或与项⽬需求不匹配及其他不利于项⽬实施的等任意⼀种情形。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要求，投标人提供具体的人员配备情况，（包括但不限于人员组织架构、职责分工、能力证明等），并提供详细的人员名单、个人简历、证书、从业经验等证明材料等。1、人员配备合理、职责分工明确、证明材料齐全、贴合项目实际需求，得2分；2、虽有人员，但配备不合理 ，职责未分工明确，证明材料有缺失，得1分；3、未提供人员或虽有人员但未提供证明材料、人员套⽤其他项⽬或与项⽬需求不匹配及其他不利于项⽬实施，得0分。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投标报价得分＝（评标基准价/投标报价）×价格评审值（注：满⾜招标⽂件要求且投标价格最低的投标 报价为评标基准价。）最低报价不是中标的唯⼀依据。因落实政府采购政策进⾏价格调整的，以调整后 的价格计算评标基准价和投标报价 。</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详见附件：资格证明.docx</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详见附件：技术参数偏离表.docx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