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BD218F">
      <w:pPr>
        <w:pStyle w:val="6"/>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采购需求</w:t>
      </w:r>
    </w:p>
    <w:p w14:paraId="7DBAA895">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rPr>
      </w:pPr>
      <w:r>
        <w:rPr>
          <w:rFonts w:hint="eastAsia" w:ascii="仿宋_GB2312" w:eastAsia="仿宋_GB2312"/>
          <w:sz w:val="28"/>
          <w:szCs w:val="28"/>
        </w:rPr>
        <w:t>（一）工作依据：</w:t>
      </w:r>
    </w:p>
    <w:p w14:paraId="142C5952">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rPr>
      </w:pPr>
      <w:r>
        <w:rPr>
          <w:rFonts w:hint="eastAsia" w:ascii="仿宋_GB2312" w:eastAsia="仿宋_GB2312"/>
          <w:sz w:val="28"/>
          <w:szCs w:val="28"/>
        </w:rPr>
        <w:t>1、《节约用水条例》第四十条 国家鼓励发展社会化、专业化、规范化的节水服务产业，支持节水服务机构创新节水服务模式，开展节水咨询、设计、检测、计量、技术改造、运行管理、产品认证等服务，引导和推动节水服务机构与用水单位或者个人签订节水管理合同，提供节水服务并以节水效益分享等方式获得合理收益。</w:t>
      </w:r>
    </w:p>
    <w:p w14:paraId="541AD223">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rPr>
      </w:pPr>
      <w:r>
        <w:rPr>
          <w:rFonts w:hint="eastAsia" w:ascii="仿宋_GB2312" w:eastAsia="仿宋_GB2312"/>
          <w:sz w:val="28"/>
          <w:szCs w:val="28"/>
        </w:rPr>
        <w:t>2</w:t>
      </w:r>
      <w:r>
        <w:rPr>
          <w:rFonts w:hint="eastAsia" w:eastAsia="仿宋_GB2312"/>
          <w:sz w:val="28"/>
          <w:szCs w:val="28"/>
        </w:rPr>
        <w:t>、</w:t>
      </w:r>
      <w:r>
        <w:rPr>
          <w:rFonts w:hint="eastAsia" w:ascii="仿宋_GB2312" w:eastAsia="仿宋_GB2312"/>
          <w:sz w:val="28"/>
          <w:szCs w:val="28"/>
        </w:rPr>
        <w:t>国家发展改革委、水利部、工业和信息化部、住房城乡建设部、农业农村部《关于加快发展节水产业的指导意见》，大力推广合同节水管理。在高耗水行业和领域全面推广合同节水管理，鼓励探索节水管理模式创新。在政府机关、学校、医院等公共机构采用购买服务、托管等模式开展合同节水管理。在写字楼、商场、机场、车站等公共建筑，鼓励采用社会资本参与方式开展合同节水管理。推动高耗水服务业开展合同节水管理改造。在火力发电、钢铁、纺织、造纸、石化和化工等高耗水工业企业及园区，强化水平衡测试服务，推广使用再生水，因地制宜配套建设海水淡化工程，推进冷却系统节水改造、工艺流程再造和智能系统管控，探索实施合同节水管理。拓展高效节水灌溉、供水管网漏损控制和水环境治理等方面市场，创新合同节水管理模式。促进节水企业与高等院校、科研院所等合作，</w:t>
      </w:r>
      <w:r>
        <w:rPr>
          <w:rFonts w:hint="eastAsia" w:ascii="仿宋_GB2312" w:eastAsia="仿宋_GB2312"/>
          <w:b/>
          <w:sz w:val="28"/>
          <w:szCs w:val="28"/>
        </w:rPr>
        <w:t>培育一批提供节水设计咨询、系统集成、设施建设、运营管理、数字化改造等综合解决方案的第三方服务企业。</w:t>
      </w:r>
    </w:p>
    <w:p w14:paraId="0B9C6A67">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rPr>
      </w:pPr>
      <w:r>
        <w:rPr>
          <w:rFonts w:hint="eastAsia" w:ascii="仿宋_GB2312" w:eastAsia="仿宋_GB2312"/>
          <w:sz w:val="28"/>
          <w:szCs w:val="28"/>
        </w:rPr>
        <w:t>（二）工作内容：</w:t>
      </w:r>
    </w:p>
    <w:p w14:paraId="79463316">
      <w:pPr>
        <w:pStyle w:val="7"/>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ascii="仿宋_GB2312" w:eastAsia="仿宋_GB2312"/>
          <w:sz w:val="28"/>
          <w:szCs w:val="28"/>
        </w:rPr>
      </w:pPr>
      <w:r>
        <w:rPr>
          <w:rFonts w:hint="eastAsia" w:ascii="仿宋_GB2312" w:eastAsia="仿宋_GB2312"/>
          <w:sz w:val="28"/>
          <w:szCs w:val="28"/>
        </w:rPr>
        <w:t>对</w:t>
      </w:r>
      <w:r>
        <w:rPr>
          <w:rFonts w:ascii="仿宋_GB2312" w:eastAsia="仿宋_GB2312"/>
          <w:sz w:val="28"/>
          <w:szCs w:val="28"/>
        </w:rPr>
        <w:t>20户用水单位开展节水评价。为用水单位和服务企业搭建桥梁，引导开展合同节水，拓展合同节水管理应用场景，其中合同节水完成数量已纳入对市政府的省级水资源刚性约束考核中，该项目</w:t>
      </w:r>
      <w:r>
        <w:rPr>
          <w:rFonts w:hint="eastAsia" w:ascii="仿宋_GB2312" w:eastAsia="仿宋_GB2312"/>
          <w:sz w:val="28"/>
          <w:szCs w:val="28"/>
        </w:rPr>
        <w:t>保障</w:t>
      </w:r>
      <w:r>
        <w:rPr>
          <w:rFonts w:ascii="仿宋_GB2312" w:eastAsia="仿宋_GB2312"/>
          <w:sz w:val="28"/>
          <w:szCs w:val="28"/>
        </w:rPr>
        <w:t>完成2026年省级水资源刚性约束考核任务。</w:t>
      </w:r>
    </w:p>
    <w:p w14:paraId="1A1A3637">
      <w:pPr>
        <w:pStyle w:val="7"/>
        <w:keepNext w:val="0"/>
        <w:keepLines w:val="0"/>
        <w:pageBreakBefore w:val="0"/>
        <w:numPr>
          <w:ilvl w:val="0"/>
          <w:numId w:val="1"/>
        </w:numPr>
        <w:kinsoku/>
        <w:wordWrap/>
        <w:overflowPunct/>
        <w:topLinePunct w:val="0"/>
        <w:autoSpaceDE/>
        <w:autoSpaceDN/>
        <w:bidi w:val="0"/>
        <w:adjustRightInd w:val="0"/>
        <w:snapToGrid w:val="0"/>
        <w:spacing w:line="360" w:lineRule="auto"/>
        <w:ind w:firstLine="560" w:firstLineChars="200"/>
        <w:jc w:val="both"/>
        <w:textAlignment w:val="auto"/>
      </w:pPr>
      <w:r>
        <w:rPr>
          <w:rFonts w:hint="eastAsia" w:ascii="仿宋_GB2312" w:eastAsia="仿宋_GB2312"/>
          <w:sz w:val="28"/>
          <w:szCs w:val="28"/>
          <w:lang w:val="en-US" w:eastAsia="zh-CN"/>
        </w:rPr>
        <w:t>成果文件</w:t>
      </w:r>
      <w:r>
        <w:br w:type="textWrapping"/>
      </w:r>
      <w:r>
        <w:rPr>
          <w:rFonts w:hint="eastAsia"/>
          <w:lang w:val="en-US" w:eastAsia="zh-CN"/>
        </w:rPr>
        <w:t xml:space="preserve">      </w:t>
      </w:r>
      <w:r>
        <w:rPr>
          <w:rFonts w:hint="eastAsia" w:ascii="仿宋_GB2312" w:eastAsia="仿宋_GB2312"/>
          <w:sz w:val="28"/>
          <w:szCs w:val="28"/>
          <w:lang w:val="en-US" w:eastAsia="zh-CN"/>
        </w:rPr>
        <w:t>完成20户重点用水单位节水评价报告，包含用水现状、用水设施及水效水平等分析，合同节水工作开展情况，结合用水户用水短板精准分析节水改造空间，挖掘合同节水潜力。</w:t>
      </w:r>
    </w:p>
    <w:p w14:paraId="619FC693">
      <w:pPr>
        <w:pStyle w:val="7"/>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hint="default" w:ascii="仿宋_GB2312" w:eastAsia="仿宋_GB2312"/>
          <w:sz w:val="28"/>
          <w:szCs w:val="28"/>
          <w:lang w:val="en-US" w:eastAsia="zh-CN"/>
        </w:rPr>
      </w:pPr>
      <w:r>
        <w:rPr>
          <w:rFonts w:hint="eastAsia" w:ascii="仿宋_GB2312" w:eastAsia="仿宋_GB2312"/>
          <w:sz w:val="28"/>
          <w:szCs w:val="28"/>
          <w:lang w:val="en-US" w:eastAsia="zh-CN"/>
        </w:rPr>
        <w:t>（四）</w:t>
      </w:r>
      <w:r>
        <w:rPr>
          <w:rFonts w:hint="default" w:ascii="仿宋_GB2312" w:eastAsia="仿宋_GB2312"/>
          <w:sz w:val="28"/>
          <w:szCs w:val="28"/>
          <w:lang w:val="en-US" w:eastAsia="zh-CN"/>
        </w:rPr>
        <w:t>商务要求</w:t>
      </w:r>
      <w:r>
        <w:rPr>
          <w:rFonts w:hint="eastAsia" w:ascii="仿宋_GB2312" w:eastAsia="仿宋_GB2312"/>
          <w:sz w:val="28"/>
          <w:szCs w:val="28"/>
          <w:lang w:val="en-US" w:eastAsia="zh-CN"/>
        </w:rPr>
        <w:t>：</w:t>
      </w:r>
    </w:p>
    <w:p w14:paraId="6E7AD0A3">
      <w:pPr>
        <w:pStyle w:val="7"/>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hint="default" w:ascii="仿宋_GB2312" w:eastAsia="仿宋_GB2312"/>
          <w:sz w:val="28"/>
          <w:szCs w:val="28"/>
          <w:lang w:val="en-US" w:eastAsia="zh-CN"/>
        </w:rPr>
      </w:pPr>
      <w:r>
        <w:rPr>
          <w:rFonts w:hint="default" w:ascii="仿宋_GB2312" w:eastAsia="仿宋_GB2312"/>
          <w:sz w:val="28"/>
          <w:szCs w:val="28"/>
          <w:lang w:val="en-US" w:eastAsia="zh-CN"/>
        </w:rPr>
        <w:t>1、</w:t>
      </w:r>
      <w:r>
        <w:rPr>
          <w:rFonts w:hint="eastAsia" w:ascii="仿宋_GB2312" w:eastAsia="仿宋_GB2312"/>
          <w:sz w:val="28"/>
          <w:szCs w:val="28"/>
          <w:lang w:val="en-US" w:eastAsia="zh-CN"/>
        </w:rPr>
        <w:t>服务期限</w:t>
      </w:r>
      <w:r>
        <w:rPr>
          <w:rFonts w:hint="default" w:ascii="仿宋_GB2312" w:eastAsia="仿宋_GB2312"/>
          <w:sz w:val="28"/>
          <w:szCs w:val="28"/>
          <w:lang w:val="en-US" w:eastAsia="zh-CN"/>
        </w:rPr>
        <w:t>：自合同签订之日起至2026年12月</w:t>
      </w:r>
      <w:r>
        <w:rPr>
          <w:rFonts w:hint="eastAsia" w:ascii="仿宋_GB2312" w:eastAsia="仿宋_GB2312"/>
          <w:sz w:val="28"/>
          <w:szCs w:val="28"/>
          <w:lang w:val="en-US" w:eastAsia="zh-CN"/>
        </w:rPr>
        <w:t>31</w:t>
      </w:r>
      <w:r>
        <w:rPr>
          <w:rFonts w:hint="default" w:ascii="仿宋_GB2312" w:eastAsia="仿宋_GB2312"/>
          <w:sz w:val="28"/>
          <w:szCs w:val="28"/>
          <w:lang w:val="en-US" w:eastAsia="zh-CN"/>
        </w:rPr>
        <w:t>日前完成</w:t>
      </w:r>
      <w:r>
        <w:rPr>
          <w:rFonts w:hint="eastAsia" w:ascii="仿宋_GB2312" w:eastAsia="仿宋_GB2312"/>
          <w:sz w:val="28"/>
          <w:szCs w:val="28"/>
          <w:lang w:val="en-US" w:eastAsia="zh-CN"/>
        </w:rPr>
        <w:t>。</w:t>
      </w:r>
    </w:p>
    <w:p w14:paraId="20600BB3">
      <w:pPr>
        <w:pStyle w:val="7"/>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hint="default" w:ascii="仿宋_GB2312" w:eastAsia="仿宋_GB2312"/>
          <w:sz w:val="28"/>
          <w:szCs w:val="28"/>
          <w:lang w:val="en-US" w:eastAsia="zh-CN"/>
        </w:rPr>
      </w:pPr>
      <w:r>
        <w:rPr>
          <w:rFonts w:hint="default" w:ascii="仿宋_GB2312" w:eastAsia="仿宋_GB2312"/>
          <w:sz w:val="28"/>
          <w:szCs w:val="28"/>
          <w:lang w:val="en-US" w:eastAsia="zh-CN"/>
        </w:rPr>
        <w:t>2、质量标准：符合国家现行有关行业标准</w:t>
      </w:r>
      <w:r>
        <w:rPr>
          <w:rFonts w:hint="eastAsia" w:ascii="仿宋_GB2312" w:eastAsia="仿宋_GB2312"/>
          <w:sz w:val="28"/>
          <w:szCs w:val="28"/>
          <w:lang w:val="en-US" w:eastAsia="zh-CN"/>
        </w:rPr>
        <w:t>。</w:t>
      </w:r>
    </w:p>
    <w:p w14:paraId="03572BB8">
      <w:pPr>
        <w:pStyle w:val="7"/>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hint="eastAsia" w:eastAsiaTheme="minorEastAsia"/>
          <w:lang w:val="en-US" w:eastAsia="zh-CN"/>
        </w:rPr>
      </w:pPr>
      <w:r>
        <w:rPr>
          <w:rFonts w:hint="default" w:ascii="仿宋_GB2312" w:eastAsia="仿宋_GB2312"/>
          <w:sz w:val="28"/>
          <w:szCs w:val="28"/>
          <w:lang w:val="en-US" w:eastAsia="zh-CN"/>
        </w:rPr>
        <w:t>3、服务地点：西安市范围内，</w:t>
      </w:r>
      <w:bookmarkStart w:id="0" w:name="_GoBack"/>
      <w:bookmarkEnd w:id="0"/>
      <w:r>
        <w:rPr>
          <w:rFonts w:hint="default" w:ascii="仿宋_GB2312" w:eastAsia="仿宋_GB2312"/>
          <w:sz w:val="28"/>
          <w:szCs w:val="28"/>
          <w:lang w:val="en-US" w:eastAsia="zh-CN"/>
        </w:rPr>
        <w:t>具体以采购人指定地点为准。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ngsana New">
    <w:altName w:val="Leelawadee UI"/>
    <w:panose1 w:val="02020603050405020304"/>
    <w:charset w:val="DE"/>
    <w:family w:val="roman"/>
    <w:pitch w:val="default"/>
    <w:sig w:usb0="00000000" w:usb1="00000000" w:usb2="00000000" w:usb3="00000000" w:csb0="0001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Leelawadee UI">
    <w:panose1 w:val="020B0502040204020203"/>
    <w:charset w:val="00"/>
    <w:family w:val="auto"/>
    <w:pitch w:val="default"/>
    <w:sig w:usb0="83000003" w:usb1="00000000" w:usb2="00010000" w:usb3="00000001" w:csb0="000101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B22CE"/>
    <w:multiLevelType w:val="singleLevel"/>
    <w:tmpl w:val="871B22C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97437C"/>
    <w:rsid w:val="3E97437C"/>
    <w:rsid w:val="59EB49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widowControl w:val="0"/>
      <w:spacing w:line="720" w:lineRule="exact"/>
      <w:outlineLvl w:val="1"/>
    </w:pPr>
    <w:rPr>
      <w:rFonts w:ascii="黑体" w:hAnsi="黑体" w:eastAsia="楷体_GB2312"/>
      <w:sz w:val="28"/>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6">
    <w:name w:val="No Spacing"/>
    <w:qFormat/>
    <w:uiPriority w:val="1"/>
    <w:pPr>
      <w:widowControl w:val="0"/>
    </w:pPr>
    <w:rPr>
      <w:rFonts w:ascii="等线" w:hAnsi="等线" w:eastAsia="等线" w:cs="Angsana New"/>
      <w:kern w:val="2"/>
      <w:sz w:val="22"/>
      <w:szCs w:val="30"/>
      <w:lang w:val="en-US" w:eastAsia="zh-CN" w:bidi="th-TH"/>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2026-09-16T02:59:00Z</dcterms:created>
  <dc:creator>陕西华采招标有限公司</dc:creator>
  <cp:lastModifiedBy>陕西华采招标有限公司</cp:lastModifiedBy>
  <dcterms:modified xsi:type="dcterms:W3CDTF">2026-09-16T03:02:21Z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C08E250BACFE4981A3F3C731DCE4127F_13</vt:lpwstr>
  </property>
  <property fmtid="{D5CDD505-2E9C-101B-9397-08002B2CF9AE}" pid="4" name="KSOTemplateDocerSaveRecord">
    <vt:lpwstr>eyJoZGlkIjoiZWMxNWU5MTM1NDJhMzM3NzZlNjAyMmRiMjcyMmY4OWYiLCJ1c2VySWQiOiI5MzY1NjA0ODAifQ==</vt:lpwstr>
  </property>
</Properties>
</file>