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版本号：YCXM-202603020260706001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西安市东城第一中学教室照明改造安装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YCXM-2026030</w:t>
      </w:r>
      <w:r>
        <w:br/>
      </w:r>
      <w:r>
        <w:br/>
      </w:r>
      <w:r>
        <w:br/>
      </w:r>
    </w:p>
    <w:p>
      <w:pPr>
        <w:pStyle w:val="null3"/>
        <w:jc w:val="center"/>
        <w:outlineLvl w:val="2"/>
      </w:pPr>
      <w:r>
        <w:rPr>
          <w:rFonts w:ascii="仿宋_GB2312" w:hAnsi="仿宋_GB2312" w:cs="仿宋_GB2312" w:eastAsia="仿宋_GB2312"/>
          <w:sz w:val="28"/>
          <w:b/>
        </w:rPr>
        <w:t>陕西省西安市东城第一中学</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陕西省西安市东城第一中学</w:t>
      </w:r>
      <w:r>
        <w:rPr>
          <w:rFonts w:ascii="仿宋_GB2312" w:hAnsi="仿宋_GB2312" w:cs="仿宋_GB2312" w:eastAsia="仿宋_GB2312"/>
        </w:rPr>
        <w:t>委托，拟对</w:t>
      </w:r>
      <w:r>
        <w:rPr>
          <w:rFonts w:ascii="仿宋_GB2312" w:hAnsi="仿宋_GB2312" w:cs="仿宋_GB2312" w:eastAsia="仿宋_GB2312"/>
        </w:rPr>
        <w:t>西安市东城第一中学教室照明改造安装</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西安市东城第一中学教室照明改造安装</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本次采购需安装护眼灯的教室约40间，教室面积约75㎡(长约936m，宽7.8m)。供应商需结合投标产品根据教室及黑板情况，对护眼灯及黑板灯的布局进行设计，拆除教室已有灯具，重新布线、安装。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采购包1（西安市东城第一中学教室照明改造安装）：属于专门面向中小企业采购。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1、营业执照：具有独立承担民事责任能力的法人、其他组织或自然人，营业执照、税务登记证、组织机构代码证（多证合一只提供营业执照，事业单位提供事业单位法人证书， 自然人提供本人身份证）合法有效；</w:t>
      </w:r>
    </w:p>
    <w:p>
      <w:pPr>
        <w:pStyle w:val="null3"/>
      </w:pPr>
      <w:r>
        <w:rPr>
          <w:rFonts w:ascii="仿宋_GB2312" w:hAnsi="仿宋_GB2312" w:cs="仿宋_GB2312" w:eastAsia="仿宋_GB2312"/>
        </w:rPr>
        <w:t>2、身份证明：法定代表人授权书（附法定代表人、被授权人身份证复印件），法定代表人直接参加投标，须提供法定代表人身份证明；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状况报告：供应商应提供2024年度或2025年度经审计的财务会计报告（成立时间至提交谈判响应文件截止时间不足一年的可提供成立后任意时段的资产负债表），或提交谈判响应截止时间前3个月内银行出具的资信证明，或信用担保机构出具的担保函（以上三种形式的资料提供任何一种即可）；其他组织和自然人提供银行出具的资信证明或财务报表；（注：审计报告必须为上传至注册会计师行业统一监管平台(http://acc.mof.gov.cn)并具有全国统一的二维码的财务报告）</w:t>
      </w:r>
    </w:p>
    <w:p>
      <w:pPr>
        <w:pStyle w:val="null3"/>
      </w:pPr>
      <w:r>
        <w:rPr>
          <w:rFonts w:ascii="仿宋_GB2312" w:hAnsi="仿宋_GB2312" w:cs="仿宋_GB2312" w:eastAsia="仿宋_GB2312"/>
        </w:rPr>
        <w:t>4、税收缴纳证明：提供供应商投标截止日前6个月内至少一个月已缴纳的增值税纳税证明或完税证明（任意税种），依法免税的供应商应提供加盖公章的相关证明文件；</w:t>
      </w:r>
    </w:p>
    <w:p>
      <w:pPr>
        <w:pStyle w:val="null3"/>
      </w:pPr>
      <w:r>
        <w:rPr>
          <w:rFonts w:ascii="仿宋_GB2312" w:hAnsi="仿宋_GB2312" w:cs="仿宋_GB2312" w:eastAsia="仿宋_GB2312"/>
        </w:rPr>
        <w:t>5、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6、具备履行合同所必需的设备和专业技术能力的证明材料：具备履行合同所必需的设备和专业技术能力的证明材料(由供应商根据项目需求提供说明材料或者承诺)；</w:t>
      </w:r>
    </w:p>
    <w:p>
      <w:pPr>
        <w:pStyle w:val="null3"/>
      </w:pPr>
      <w:r>
        <w:rPr>
          <w:rFonts w:ascii="仿宋_GB2312" w:hAnsi="仿宋_GB2312" w:cs="仿宋_GB2312" w:eastAsia="仿宋_GB2312"/>
        </w:rPr>
        <w:t>7、无重大违法记录的书面声明：参加本次政府采购活动前3年内在经营活动中没有重大违纪、未被列入失信被执行人、重大税收违法案件当事人名单、政府采购严重违法失信行为记录名单的书面声明。开标评审将登陆“信用中国”网站 （www.creditchina.gov.cn）和“中国政府采购网”（www.ccgp.gov.cn）进行审查；</w:t>
      </w:r>
    </w:p>
    <w:p>
      <w:pPr>
        <w:pStyle w:val="null3"/>
      </w:pPr>
      <w:r>
        <w:rPr>
          <w:rFonts w:ascii="仿宋_GB2312" w:hAnsi="仿宋_GB2312" w:cs="仿宋_GB2312" w:eastAsia="仿宋_GB2312"/>
        </w:rPr>
        <w:t>8、非联合体声明：本项目不接受联合体投标；</w:t>
      </w:r>
    </w:p>
    <w:p>
      <w:pPr>
        <w:pStyle w:val="null3"/>
      </w:pPr>
      <w:r>
        <w:rPr>
          <w:rFonts w:ascii="仿宋_GB2312" w:hAnsi="仿宋_GB2312" w:cs="仿宋_GB2312" w:eastAsia="仿宋_GB2312"/>
        </w:rPr>
        <w:t>9、本项目专门面向中小企业采购：本项目专门面向中小企业采购（提供中小企业声明函）。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陕西省西安市东城第一中学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西安市灞桥区纺四路568号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029-83553778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卞兴前、马宁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13484613855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发的《招标代理服务收费管理暂行办法》（计价格[2002]1980号）和国家发改委办公厅颁发的《关于招标代理服务收费有关问题的通知》（发改办价格[2003]857号）的有关规定执行，本项目代理服务费按定额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陕西省西安市东城第一中学</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陕西省西安市东城第一中学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陕西省西安市东城第一中学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陕西玥诚工程项目管理有限公司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联系人：马宁</w:t>
      </w:r>
    </w:p>
    <w:p>
      <w:pPr>
        <w:pStyle w:val="null3"/>
      </w:pPr>
      <w:r>
        <w:rPr>
          <w:rFonts w:ascii="仿宋_GB2312" w:hAnsi="仿宋_GB2312" w:cs="仿宋_GB2312" w:eastAsia="仿宋_GB2312"/>
        </w:rPr>
        <w:t>联系电话：13484613855</w:t>
      </w:r>
    </w:p>
    <w:p>
      <w:pPr>
        <w:pStyle w:val="null3"/>
      </w:pPr>
      <w:r>
        <w:rPr>
          <w:rFonts w:ascii="仿宋_GB2312" w:hAnsi="仿宋_GB2312" w:cs="仿宋_GB2312" w:eastAsia="仿宋_GB2312"/>
        </w:rPr>
        <w:t>地址：西安市雁塔区雁展路莱安中心T7栋10层1006室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本次采购需安装护眼灯的教室约40间，教室面积约75</w:t>
      </w:r>
      <w:r>
        <w:rPr>
          <w:rFonts w:ascii="仿宋_GB2312" w:hAnsi="仿宋_GB2312" w:cs="仿宋_GB2312" w:eastAsia="仿宋_GB2312"/>
          <w:sz w:val="19"/>
          <w:color w:val="000000"/>
        </w:rPr>
        <w:t>㎡</w:t>
      </w:r>
      <w:r>
        <w:rPr>
          <w:rFonts w:ascii="仿宋_GB2312" w:hAnsi="仿宋_GB2312" w:cs="仿宋_GB2312" w:eastAsia="仿宋_GB2312"/>
        </w:rPr>
        <w:t>(长约936m，宽7.8m)。供应商需结合投标产品根据教室及黑板情况，对护眼灯及黑板灯的布局进行设计，拆除教室已有灯具，重新布线、安装。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西安市东城第一中学教室照明改造安装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标的名称：西安市东城第一中学教室照明改造安装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200"/>
              <w:jc w:val="left"/>
            </w:pPr>
            <w:r>
              <w:rPr>
                <w:rFonts w:ascii="仿宋_GB2312" w:hAnsi="仿宋_GB2312" w:cs="仿宋_GB2312" w:eastAsia="仿宋_GB2312"/>
                <w:sz w:val="19"/>
                <w:b/>
                <w:color w:val="000000"/>
              </w:rPr>
              <w:t>一、</w:t>
            </w:r>
            <w:r>
              <w:rPr>
                <w:rFonts w:ascii="仿宋_GB2312" w:hAnsi="仿宋_GB2312" w:cs="仿宋_GB2312" w:eastAsia="仿宋_GB2312"/>
                <w:sz w:val="19"/>
                <w:b/>
                <w:color w:val="000000"/>
              </w:rPr>
              <w:t>项目概况</w:t>
            </w:r>
          </w:p>
          <w:p>
            <w:pPr>
              <w:pStyle w:val="null3"/>
              <w:ind w:firstLine="380"/>
              <w:jc w:val="left"/>
            </w:pPr>
            <w:r>
              <w:rPr>
                <w:rFonts w:ascii="仿宋_GB2312" w:hAnsi="仿宋_GB2312" w:cs="仿宋_GB2312" w:eastAsia="仿宋_GB2312"/>
                <w:sz w:val="19"/>
                <w:color w:val="000000"/>
              </w:rPr>
              <w:t>本次采购需安装护眼灯的教室约</w:t>
            </w:r>
            <w:r>
              <w:rPr>
                <w:rFonts w:ascii="仿宋_GB2312" w:hAnsi="仿宋_GB2312" w:cs="仿宋_GB2312" w:eastAsia="仿宋_GB2312"/>
                <w:sz w:val="19"/>
                <w:color w:val="000000"/>
              </w:rPr>
              <w:t>40间，教室面积约75</w:t>
            </w:r>
            <w:r>
              <w:rPr>
                <w:rFonts w:ascii="仿宋_GB2312" w:hAnsi="仿宋_GB2312" w:cs="仿宋_GB2312" w:eastAsia="仿宋_GB2312"/>
                <w:sz w:val="19"/>
                <w:color w:val="000000"/>
              </w:rPr>
              <w:t>㎡</w:t>
            </w:r>
            <w:r>
              <w:rPr>
                <w:rFonts w:ascii="仿宋_GB2312" w:hAnsi="仿宋_GB2312" w:cs="仿宋_GB2312" w:eastAsia="仿宋_GB2312"/>
                <w:sz w:val="19"/>
                <w:color w:val="000000"/>
              </w:rPr>
              <w:t>(长约936m，宽7.8m)。供应商需结合投标产品根据教室及黑板情况，对护眼灯及黑板灯的布局进行设计，拆除教室已有灯具，重新布线、安</w:t>
            </w:r>
            <w:r>
              <w:rPr>
                <w:rFonts w:ascii="仿宋_GB2312" w:hAnsi="仿宋_GB2312" w:cs="仿宋_GB2312" w:eastAsia="仿宋_GB2312"/>
                <w:sz w:val="19"/>
                <w:color w:val="000000"/>
              </w:rPr>
              <w:t>装。</w:t>
            </w:r>
          </w:p>
          <w:p>
            <w:pPr>
              <w:pStyle w:val="null3"/>
              <w:ind w:firstLine="200"/>
              <w:jc w:val="left"/>
            </w:pPr>
            <w:r>
              <w:rPr>
                <w:rFonts w:ascii="仿宋_GB2312" w:hAnsi="仿宋_GB2312" w:cs="仿宋_GB2312" w:eastAsia="仿宋_GB2312"/>
                <w:sz w:val="19"/>
                <w:b/>
                <w:color w:val="000000"/>
              </w:rPr>
              <w:t>二、</w:t>
            </w:r>
            <w:r>
              <w:rPr>
                <w:rFonts w:ascii="仿宋_GB2312" w:hAnsi="仿宋_GB2312" w:cs="仿宋_GB2312" w:eastAsia="仿宋_GB2312"/>
                <w:sz w:val="19"/>
                <w:b/>
                <w:color w:val="000000"/>
              </w:rPr>
              <w:t>采购内容</w:t>
            </w:r>
          </w:p>
          <w:tbl>
            <w:tblPr>
              <w:tblInd w:type="dxa" w:w="135"/>
              <w:tblBorders>
                <w:top w:val="none" w:color="000000" w:sz="4"/>
                <w:left w:val="none" w:color="000000" w:sz="4"/>
                <w:bottom w:val="none" w:color="000000" w:sz="4"/>
                <w:right w:val="none" w:color="000000" w:sz="4"/>
                <w:insideH w:val="none"/>
                <w:insideV w:val="none"/>
              </w:tblBorders>
            </w:tblPr>
            <w:tblGrid>
              <w:gridCol w:w="194"/>
              <w:gridCol w:w="380"/>
              <w:gridCol w:w="1549"/>
              <w:gridCol w:w="229"/>
              <w:gridCol w:w="190"/>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序号</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产品名称</w:t>
                  </w:r>
                </w:p>
              </w:tc>
              <w:tc>
                <w:tcPr>
                  <w:tcW w:type="dxa" w:w="1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技术规格</w:t>
                  </w:r>
                </w:p>
              </w:tc>
              <w:tc>
                <w:tcPr>
                  <w:tcW w:type="dxa" w:w="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数量</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备注</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1</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护眼教室灯</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1、LED教室灯长度≥1100mm；发光面采用格栅防眩工艺，灯具外形平整、无凹陷和毛刺，焊缝无透光现象，表面均匀、光洁，无流挂现象。</w:t>
                  </w:r>
                </w:p>
                <w:p>
                  <w:pPr>
                    <w:pStyle w:val="null3"/>
                    <w:jc w:val="left"/>
                  </w:pPr>
                  <w:r>
                    <w:rPr>
                      <w:rFonts w:ascii="仿宋_GB2312" w:hAnsi="仿宋_GB2312" w:cs="仿宋_GB2312" w:eastAsia="仿宋_GB2312"/>
                      <w:sz w:val="19"/>
                      <w:color w:val="000000"/>
                    </w:rPr>
                    <w:t>2、LED教室灯色温满足3300-5500K；显色指数满足Ra≥90，R9≥50；功率因数：≥0.90；光效≥95 lm/W；色容差≤3；</w:t>
                  </w:r>
                </w:p>
                <w:p>
                  <w:pPr>
                    <w:pStyle w:val="null3"/>
                    <w:jc w:val="left"/>
                  </w:pPr>
                  <w:r>
                    <w:rPr>
                      <w:rFonts w:ascii="仿宋_GB2312" w:hAnsi="仿宋_GB2312" w:cs="仿宋_GB2312" w:eastAsia="仿宋_GB2312"/>
                      <w:sz w:val="19"/>
                      <w:color w:val="000000"/>
                    </w:rPr>
                    <w:t>3、光学性能：课桌面平均照度≥300Lx，课桌面照度均匀度≥0.70；眩光值（UGR）≤16；</w:t>
                  </w:r>
                </w:p>
                <w:p>
                  <w:pPr>
                    <w:pStyle w:val="null3"/>
                    <w:jc w:val="left"/>
                  </w:pPr>
                  <w:r>
                    <w:rPr>
                      <w:rFonts w:ascii="仿宋_GB2312" w:hAnsi="仿宋_GB2312" w:cs="仿宋_GB2312" w:eastAsia="仿宋_GB2312"/>
                      <w:sz w:val="19"/>
                      <w:color w:val="000000"/>
                    </w:rPr>
                    <w:t>4、可靠性：灯具寿命≥30000小时；</w:t>
                  </w:r>
                </w:p>
                <w:p>
                  <w:pPr>
                    <w:pStyle w:val="null3"/>
                    <w:jc w:val="left"/>
                  </w:pPr>
                  <w:r>
                    <w:rPr>
                      <w:rFonts w:ascii="仿宋_GB2312" w:hAnsi="仿宋_GB2312" w:cs="仿宋_GB2312" w:eastAsia="仿宋_GB2312"/>
                      <w:sz w:val="19"/>
                      <w:color w:val="000000"/>
                    </w:rPr>
                    <w:t>5、蓝光危害：蓝光等级RG0（无危险类）；</w:t>
                  </w:r>
                </w:p>
                <w:p>
                  <w:pPr>
                    <w:pStyle w:val="null3"/>
                    <w:jc w:val="left"/>
                  </w:pPr>
                  <w:r>
                    <w:rPr>
                      <w:rFonts w:ascii="仿宋_GB2312" w:hAnsi="仿宋_GB2312" w:cs="仿宋_GB2312" w:eastAsia="仿宋_GB2312"/>
                      <w:sz w:val="19"/>
                      <w:color w:val="000000"/>
                    </w:rPr>
                    <w:t>6、频闪：无显著影响或同等水平；</w:t>
                  </w:r>
                </w:p>
                <w:p>
                  <w:pPr>
                    <w:pStyle w:val="null3"/>
                    <w:jc w:val="left"/>
                  </w:pPr>
                  <w:r>
                    <w:rPr>
                      <w:rFonts w:ascii="仿宋_GB2312" w:hAnsi="仿宋_GB2312" w:cs="仿宋_GB2312" w:eastAsia="仿宋_GB2312"/>
                      <w:sz w:val="19"/>
                      <w:color w:val="000000"/>
                    </w:rPr>
                    <w:t>★7、符合GB 40070-2021《儿童青少年学习用品近视防控卫生要求》；提供认证证书扫描件；</w:t>
                  </w:r>
                </w:p>
                <w:p>
                  <w:pPr>
                    <w:pStyle w:val="null3"/>
                    <w:jc w:val="left"/>
                  </w:pPr>
                  <w:r>
                    <w:rPr>
                      <w:rFonts w:ascii="仿宋_GB2312" w:hAnsi="仿宋_GB2312" w:cs="仿宋_GB2312" w:eastAsia="仿宋_GB2312"/>
                      <w:sz w:val="19"/>
                      <w:color w:val="000000"/>
                    </w:rPr>
                    <w:t>★8、通过国家强制性CCC认证，额定功率：36W±2W；提供证书扫描件。</w:t>
                  </w:r>
                </w:p>
                <w:p>
                  <w:pPr>
                    <w:pStyle w:val="null3"/>
                    <w:jc w:val="left"/>
                  </w:pPr>
                  <w:r>
                    <w:rPr>
                      <w:rFonts w:ascii="仿宋_GB2312" w:hAnsi="仿宋_GB2312" w:cs="仿宋_GB2312" w:eastAsia="仿宋_GB2312"/>
                      <w:sz w:val="19"/>
                      <w:color w:val="000000"/>
                    </w:rPr>
                    <w:t>★9、符合《教室用 LED 灯具塑料材料耐老化黄变性能认证》《教室用LED灯具优质光谱（显指光效双高之光)认证》要求，提供认证证书扫描件。</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420盏</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护眼黑板灯</w:t>
                  </w:r>
                </w:p>
              </w:tc>
              <w:tc>
                <w:tcPr>
                  <w:tcW w:type="dxa" w:w="1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1、LED黑板灯长度≥1100mm；发光面采用格栅防眩工艺，灯具外形平整、无凹陷和毛刺，焊缝无透光现象，表面均匀、光洁，无流挂现象。</w:t>
                  </w:r>
                </w:p>
                <w:p>
                  <w:pPr>
                    <w:pStyle w:val="null3"/>
                    <w:jc w:val="left"/>
                  </w:pPr>
                  <w:r>
                    <w:rPr>
                      <w:rFonts w:ascii="仿宋_GB2312" w:hAnsi="仿宋_GB2312" w:cs="仿宋_GB2312" w:eastAsia="仿宋_GB2312"/>
                      <w:sz w:val="19"/>
                      <w:color w:val="000000"/>
                    </w:rPr>
                    <w:t>2、LED黑板灯色温满足3300-5500K；显色指数满足Ra≥90，R9≥50；功率因数：≥0.90；光效≥95 lm/W；色容差≤3；</w:t>
                  </w:r>
                </w:p>
                <w:p>
                  <w:pPr>
                    <w:pStyle w:val="null3"/>
                    <w:jc w:val="left"/>
                  </w:pPr>
                  <w:r>
                    <w:rPr>
                      <w:rFonts w:ascii="仿宋_GB2312" w:hAnsi="仿宋_GB2312" w:cs="仿宋_GB2312" w:eastAsia="仿宋_GB2312"/>
                      <w:sz w:val="19"/>
                      <w:color w:val="000000"/>
                    </w:rPr>
                    <w:t>3、光学性能：黑板面平均照度≥500Lx，黑板面照度均匀度≥0.80；</w:t>
                  </w:r>
                </w:p>
                <w:p>
                  <w:pPr>
                    <w:pStyle w:val="null3"/>
                    <w:jc w:val="left"/>
                  </w:pPr>
                  <w:r>
                    <w:rPr>
                      <w:rFonts w:ascii="仿宋_GB2312" w:hAnsi="仿宋_GB2312" w:cs="仿宋_GB2312" w:eastAsia="仿宋_GB2312"/>
                      <w:sz w:val="19"/>
                      <w:color w:val="000000"/>
                    </w:rPr>
                    <w:t>4、可靠性：灯具寿命≥30000小时；</w:t>
                  </w:r>
                </w:p>
                <w:p>
                  <w:pPr>
                    <w:pStyle w:val="null3"/>
                    <w:jc w:val="left"/>
                  </w:pPr>
                  <w:r>
                    <w:rPr>
                      <w:rFonts w:ascii="仿宋_GB2312" w:hAnsi="仿宋_GB2312" w:cs="仿宋_GB2312" w:eastAsia="仿宋_GB2312"/>
                      <w:sz w:val="19"/>
                      <w:color w:val="000000"/>
                    </w:rPr>
                    <w:t>5、蓝光危害：蓝光等级RG0（无危险类）；</w:t>
                  </w:r>
                </w:p>
                <w:p>
                  <w:pPr>
                    <w:pStyle w:val="null3"/>
                    <w:jc w:val="left"/>
                  </w:pPr>
                  <w:r>
                    <w:rPr>
                      <w:rFonts w:ascii="仿宋_GB2312" w:hAnsi="仿宋_GB2312" w:cs="仿宋_GB2312" w:eastAsia="仿宋_GB2312"/>
                      <w:sz w:val="19"/>
                      <w:color w:val="000000"/>
                    </w:rPr>
                    <w:t>6、频闪：无显著影响或同等水平；</w:t>
                  </w:r>
                </w:p>
                <w:p>
                  <w:pPr>
                    <w:pStyle w:val="null3"/>
                    <w:jc w:val="left"/>
                  </w:pPr>
                  <w:r>
                    <w:rPr>
                      <w:rFonts w:ascii="仿宋_GB2312" w:hAnsi="仿宋_GB2312" w:cs="仿宋_GB2312" w:eastAsia="仿宋_GB2312"/>
                      <w:sz w:val="19"/>
                      <w:color w:val="000000"/>
                    </w:rPr>
                    <w:t>★7、符合GB 40070-2021《儿童青少年学习用品近视防控卫生要求》；提供认证证书扫描件；</w:t>
                  </w:r>
                </w:p>
                <w:p>
                  <w:pPr>
                    <w:pStyle w:val="null3"/>
                    <w:jc w:val="left"/>
                  </w:pPr>
                  <w:r>
                    <w:rPr>
                      <w:rFonts w:ascii="仿宋_GB2312" w:hAnsi="仿宋_GB2312" w:cs="仿宋_GB2312" w:eastAsia="仿宋_GB2312"/>
                      <w:sz w:val="19"/>
                      <w:color w:val="000000"/>
                    </w:rPr>
                    <w:t>★8、通过国家强制性CCC认证，额定功率：36W±2W；提供证书扫描件。</w:t>
                  </w:r>
                </w:p>
                <w:p>
                  <w:pPr>
                    <w:pStyle w:val="null3"/>
                    <w:ind w:firstLine="200"/>
                    <w:jc w:val="left"/>
                  </w:pPr>
                  <w:r>
                    <w:rPr>
                      <w:rFonts w:ascii="仿宋_GB2312" w:hAnsi="仿宋_GB2312" w:cs="仿宋_GB2312" w:eastAsia="仿宋_GB2312"/>
                      <w:sz w:val="19"/>
                      <w:color w:val="000000"/>
                    </w:rPr>
                    <w:t>★9、符合《教室用 LED 灯具塑料材料耐老化黄变性能认证》《教室用LED灯具优质光谱（显指光效双高之光)认证》要求，提供认证证书扫描件。</w:t>
                  </w:r>
                </w:p>
              </w:tc>
              <w:tc>
                <w:tcPr>
                  <w:tcW w:type="dxa" w:w="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19"/>
                      <w:color w:val="000000"/>
                    </w:rPr>
                    <w:t>105盏</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p>
              </w:tc>
            </w:tr>
          </w:tbl>
          <w:p>
            <w:pPr>
              <w:pStyle w:val="null3"/>
              <w:jc w:val="left"/>
            </w:pPr>
            <w:r>
              <w:rPr>
                <w:rFonts w:ascii="仿宋_GB2312" w:hAnsi="仿宋_GB2312" w:cs="仿宋_GB2312" w:eastAsia="仿宋_GB2312"/>
                <w:sz w:val="19"/>
                <w:color w:val="000000"/>
              </w:rPr>
              <w:t>1、所有指标均严格遵循《GB 40070-2021儿童青少年学习用品近视防控卫生要求》《GB7000.1-2015 灯具通用安全要求》。</w:t>
            </w:r>
          </w:p>
          <w:p>
            <w:pPr>
              <w:pStyle w:val="null3"/>
              <w:ind w:firstLine="380"/>
              <w:jc w:val="left"/>
            </w:pPr>
            <w:r>
              <w:rPr>
                <w:rFonts w:ascii="仿宋_GB2312" w:hAnsi="仿宋_GB2312" w:cs="仿宋_GB2312" w:eastAsia="仿宋_GB2312"/>
                <w:sz w:val="19"/>
                <w:color w:val="000000"/>
              </w:rPr>
              <w:t>2、本技术参数中所有标注“★”的条款为实质性要求，投标人必须完全满足并提供加盖公章的证明材料复印件，否则其投标将被否决。</w:t>
            </w:r>
          </w:p>
          <w:p>
            <w:pPr>
              <w:pStyle w:val="null3"/>
              <w:ind w:firstLine="380"/>
              <w:jc w:val="left"/>
            </w:pPr>
            <w:r>
              <w:rPr>
                <w:rFonts w:ascii="仿宋_GB2312" w:hAnsi="仿宋_GB2312" w:cs="仿宋_GB2312" w:eastAsia="仿宋_GB2312"/>
                <w:sz w:val="19"/>
                <w:color w:val="000000"/>
              </w:rPr>
              <w:t>3、证明材料要求：投标时提供的CCC认证证书、GB40070检测报告必须清晰可辨，证书主体与投标产品生产厂家一致，且在有效期内。</w:t>
            </w:r>
          </w:p>
          <w:p>
            <w:pPr>
              <w:pStyle w:val="null3"/>
              <w:ind w:firstLine="380"/>
              <w:jc w:val="left"/>
            </w:pPr>
            <w:r>
              <w:rPr>
                <w:rFonts w:ascii="仿宋_GB2312" w:hAnsi="仿宋_GB2312" w:cs="仿宋_GB2312" w:eastAsia="仿宋_GB2312"/>
                <w:sz w:val="19"/>
                <w:color w:val="000000"/>
              </w:rPr>
              <w:t>4、标准执行说明：本技术参数未列明但国家强制性标准有明确要求的，投标产品必须同时满足相关国家强制性标准。</w:t>
            </w:r>
          </w:p>
          <w:p>
            <w:pPr>
              <w:pStyle w:val="null3"/>
              <w:ind w:firstLine="380"/>
              <w:jc w:val="left"/>
            </w:pPr>
            <w:r>
              <w:rPr>
                <w:rFonts w:ascii="仿宋_GB2312" w:hAnsi="仿宋_GB2312" w:cs="仿宋_GB2312" w:eastAsia="仿宋_GB2312"/>
                <w:sz w:val="19"/>
                <w:color w:val="000000"/>
              </w:rPr>
              <w:t>5、安装验收标准：最终验收时，课桌面及黑板面照度、均匀度、眩光值等指标，需由具备CMA资质的第三方检测机构现场检测，检测费用由中标人承担。</w:t>
            </w:r>
          </w:p>
          <w:p>
            <w:pPr>
              <w:pStyle w:val="null3"/>
              <w:ind w:firstLine="200"/>
              <w:jc w:val="left"/>
            </w:pPr>
            <w:r>
              <w:rPr>
                <w:rFonts w:ascii="仿宋_GB2312" w:hAnsi="仿宋_GB2312" w:cs="仿宋_GB2312" w:eastAsia="仿宋_GB2312"/>
                <w:sz w:val="19"/>
                <w:b/>
                <w:color w:val="000000"/>
              </w:rPr>
              <w:t>三、技术要求</w:t>
            </w:r>
          </w:p>
          <w:p>
            <w:pPr>
              <w:pStyle w:val="null3"/>
              <w:ind w:firstLine="380"/>
              <w:jc w:val="left"/>
            </w:pPr>
            <w:r>
              <w:rPr>
                <w:rFonts w:ascii="仿宋_GB2312" w:hAnsi="仿宋_GB2312" w:cs="仿宋_GB2312" w:eastAsia="仿宋_GB2312"/>
                <w:sz w:val="19"/>
                <w:color w:val="000000"/>
              </w:rPr>
              <w:t>采购货物均为全新品，要求符合国家标准、行业标准和清单要求，保证所供设备是正品品牌。</w:t>
            </w:r>
          </w:p>
          <w:p>
            <w:pPr>
              <w:pStyle w:val="null3"/>
              <w:jc w:val="left"/>
            </w:pPr>
            <w:r>
              <w:rPr>
                <w:rFonts w:ascii="仿宋_GB2312" w:hAnsi="仿宋_GB2312" w:cs="仿宋_GB2312" w:eastAsia="仿宋_GB2312"/>
                <w:sz w:val="19"/>
                <w:b/>
                <w:color w:val="000000"/>
              </w:rPr>
              <w:t>四、服务要求</w:t>
            </w:r>
          </w:p>
          <w:p>
            <w:pPr>
              <w:pStyle w:val="null3"/>
              <w:ind w:firstLine="380"/>
              <w:jc w:val="left"/>
            </w:pPr>
            <w:r>
              <w:rPr>
                <w:rFonts w:ascii="仿宋_GB2312" w:hAnsi="仿宋_GB2312" w:cs="仿宋_GB2312" w:eastAsia="仿宋_GB2312"/>
                <w:sz w:val="19"/>
                <w:color w:val="000000"/>
              </w:rPr>
              <w:t>在合同执行过程中需要供应商应执行的伴随服务的服务标准或应当履行的相关义务</w:t>
            </w:r>
            <w:r>
              <w:rPr>
                <w:rFonts w:ascii="仿宋_GB2312" w:hAnsi="仿宋_GB2312" w:cs="仿宋_GB2312" w:eastAsia="仿宋_GB2312"/>
                <w:sz w:val="19"/>
                <w:color w:val="000000"/>
              </w:rPr>
              <w:t>(以实际合同为准)。</w:t>
            </w:r>
          </w:p>
          <w:p>
            <w:pPr>
              <w:pStyle w:val="null3"/>
              <w:jc w:val="left"/>
            </w:pPr>
            <w:r>
              <w:rPr>
                <w:rFonts w:ascii="仿宋_GB2312" w:hAnsi="仿宋_GB2312" w:cs="仿宋_GB2312" w:eastAsia="仿宋_GB2312"/>
                <w:sz w:val="19"/>
                <w:b/>
                <w:color w:val="000000"/>
              </w:rPr>
              <w:t>五、</w:t>
            </w:r>
            <w:r>
              <w:rPr>
                <w:rFonts w:ascii="仿宋_GB2312" w:hAnsi="仿宋_GB2312" w:cs="仿宋_GB2312" w:eastAsia="仿宋_GB2312"/>
                <w:sz w:val="19"/>
                <w:b/>
                <w:color w:val="000000"/>
              </w:rPr>
              <w:t>商务要求</w:t>
            </w:r>
          </w:p>
          <w:p>
            <w:pPr>
              <w:pStyle w:val="null3"/>
              <w:ind w:firstLine="380"/>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一</w:t>
            </w:r>
            <w:r>
              <w:rPr>
                <w:rFonts w:ascii="仿宋_GB2312" w:hAnsi="仿宋_GB2312" w:cs="仿宋_GB2312" w:eastAsia="仿宋_GB2312"/>
                <w:sz w:val="19"/>
                <w:color w:val="000000"/>
              </w:rPr>
              <w:t>）、</w:t>
            </w:r>
            <w:r>
              <w:rPr>
                <w:rFonts w:ascii="仿宋_GB2312" w:hAnsi="仿宋_GB2312" w:cs="仿宋_GB2312" w:eastAsia="仿宋_GB2312"/>
                <w:sz w:val="19"/>
                <w:color w:val="000000"/>
              </w:rPr>
              <w:t>交货期限</w:t>
            </w:r>
            <w:r>
              <w:rPr>
                <w:rFonts w:ascii="仿宋_GB2312" w:hAnsi="仿宋_GB2312" w:cs="仿宋_GB2312" w:eastAsia="仿宋_GB2312"/>
                <w:sz w:val="19"/>
                <w:color w:val="000000"/>
              </w:rPr>
              <w:t>：</w:t>
            </w:r>
            <w:r>
              <w:rPr>
                <w:rFonts w:ascii="仿宋_GB2312" w:hAnsi="仿宋_GB2312" w:cs="仿宋_GB2312" w:eastAsia="仿宋_GB2312"/>
                <w:sz w:val="19"/>
                <w:color w:val="000000"/>
              </w:rPr>
              <w:t>合同签订后</w:t>
            </w:r>
            <w:r>
              <w:rPr>
                <w:rFonts w:ascii="仿宋_GB2312" w:hAnsi="仿宋_GB2312" w:cs="仿宋_GB2312" w:eastAsia="仿宋_GB2312"/>
                <w:sz w:val="19"/>
                <w:color w:val="000000"/>
              </w:rPr>
              <w:t>20个日历日内完成货物的交货、安袭及调试。</w:t>
            </w:r>
          </w:p>
          <w:p>
            <w:pPr>
              <w:pStyle w:val="null3"/>
              <w:ind w:firstLine="380"/>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二</w:t>
            </w:r>
            <w:r>
              <w:rPr>
                <w:rFonts w:ascii="仿宋_GB2312" w:hAnsi="仿宋_GB2312" w:cs="仿宋_GB2312" w:eastAsia="仿宋_GB2312"/>
                <w:sz w:val="19"/>
                <w:color w:val="000000"/>
              </w:rPr>
              <w:t>）</w:t>
            </w:r>
            <w:r>
              <w:rPr>
                <w:rFonts w:ascii="仿宋_GB2312" w:hAnsi="仿宋_GB2312" w:cs="仿宋_GB2312" w:eastAsia="仿宋_GB2312"/>
                <w:sz w:val="19"/>
                <w:color w:val="000000"/>
              </w:rPr>
              <w:t>、款项结算</w:t>
            </w:r>
          </w:p>
          <w:p>
            <w:pPr>
              <w:pStyle w:val="null3"/>
              <w:ind w:firstLine="380"/>
              <w:jc w:val="left"/>
            </w:pPr>
            <w:r>
              <w:rPr>
                <w:rFonts w:ascii="仿宋_GB2312" w:hAnsi="仿宋_GB2312" w:cs="仿宋_GB2312" w:eastAsia="仿宋_GB2312"/>
                <w:sz w:val="19"/>
                <w:color w:val="000000"/>
              </w:rPr>
              <w:t>合同签订之后，设备安装并且经验收合格之后无任何质量问题不计息先付</w:t>
            </w:r>
            <w:r>
              <w:rPr>
                <w:rFonts w:ascii="仿宋_GB2312" w:hAnsi="仿宋_GB2312" w:cs="仿宋_GB2312" w:eastAsia="仿宋_GB2312"/>
                <w:sz w:val="19"/>
                <w:color w:val="000000"/>
              </w:rPr>
              <w:t>40%,设备运行一年后无质量问题付剩余60%款项。</w:t>
            </w:r>
          </w:p>
          <w:p>
            <w:pPr>
              <w:pStyle w:val="null3"/>
              <w:jc w:val="left"/>
            </w:pPr>
            <w:r>
              <w:rPr>
                <w:rFonts w:ascii="仿宋_GB2312" w:hAnsi="仿宋_GB2312" w:cs="仿宋_GB2312" w:eastAsia="仿宋_GB2312"/>
                <w:sz w:val="19"/>
                <w:b/>
                <w:color w:val="000000"/>
              </w:rPr>
              <w:t>六、其他</w:t>
            </w:r>
          </w:p>
          <w:p>
            <w:pPr>
              <w:pStyle w:val="null3"/>
              <w:jc w:val="left"/>
            </w:pPr>
            <w:r>
              <w:rPr>
                <w:rFonts w:ascii="仿宋_GB2312" w:hAnsi="仿宋_GB2312" w:cs="仿宋_GB2312" w:eastAsia="仿宋_GB2312"/>
                <w:sz w:val="19"/>
                <w:color w:val="000000"/>
              </w:rPr>
              <w:t>(一)其他要求。</w:t>
            </w:r>
          </w:p>
          <w:p>
            <w:pPr>
              <w:pStyle w:val="null3"/>
              <w:jc w:val="left"/>
            </w:pPr>
            <w:r>
              <w:rPr>
                <w:rFonts w:ascii="仿宋_GB2312" w:hAnsi="仿宋_GB2312" w:cs="仿宋_GB2312" w:eastAsia="仿宋_GB2312"/>
                <w:sz w:val="19"/>
                <w:color w:val="000000"/>
              </w:rPr>
              <w:t>1、设计要求</w:t>
            </w:r>
          </w:p>
          <w:p>
            <w:pPr>
              <w:pStyle w:val="null3"/>
              <w:ind w:firstLine="380"/>
              <w:jc w:val="left"/>
            </w:pPr>
            <w:r>
              <w:rPr>
                <w:rFonts w:ascii="仿宋_GB2312" w:hAnsi="仿宋_GB2312" w:cs="仿宋_GB2312" w:eastAsia="仿宋_GB2312"/>
                <w:sz w:val="19"/>
                <w:color w:val="000000"/>
              </w:rPr>
              <w:t>供应商根据教室及黑板情况自行设计护眼灯及黑板灯布局，具体数量不做要求。</w:t>
            </w:r>
          </w:p>
          <w:p>
            <w:pPr>
              <w:pStyle w:val="null3"/>
              <w:jc w:val="left"/>
            </w:pPr>
            <w:r>
              <w:rPr>
                <w:rFonts w:ascii="仿宋_GB2312" w:hAnsi="仿宋_GB2312" w:cs="仿宋_GB2312" w:eastAsia="仿宋_GB2312"/>
                <w:sz w:val="19"/>
                <w:color w:val="000000"/>
              </w:rPr>
              <w:t>2、安装辅材辅材包含电线、灯具固定吊杆、配件包及开关面板等完成灯具吊装的所有辅材。</w:t>
            </w:r>
          </w:p>
          <w:p>
            <w:pPr>
              <w:pStyle w:val="null3"/>
              <w:jc w:val="left"/>
            </w:pPr>
            <w:r>
              <w:rPr>
                <w:rFonts w:ascii="仿宋_GB2312" w:hAnsi="仿宋_GB2312" w:cs="仿宋_GB2312" w:eastAsia="仿宋_GB2312"/>
                <w:sz w:val="19"/>
                <w:color w:val="000000"/>
              </w:rPr>
              <w:t>3、报价要求</w:t>
            </w:r>
          </w:p>
          <w:p>
            <w:pPr>
              <w:pStyle w:val="null3"/>
              <w:ind w:firstLine="190"/>
              <w:jc w:val="left"/>
            </w:pPr>
            <w:r>
              <w:rPr>
                <w:rFonts w:ascii="仿宋_GB2312" w:hAnsi="仿宋_GB2312" w:cs="仿宋_GB2312" w:eastAsia="仿宋_GB2312"/>
                <w:sz w:val="19"/>
                <w:color w:val="000000"/>
              </w:rPr>
              <w:t>(1)投标报价包含旧设备拆除及搬运费、设备费(包含灯具及辅材)、设计费、运杂费、安装调试费、调换费、第三方检测费、税金等完成项目所需的全部费用。</w:t>
            </w:r>
          </w:p>
          <w:p>
            <w:pPr>
              <w:pStyle w:val="null3"/>
              <w:ind w:firstLine="190"/>
              <w:jc w:val="left"/>
            </w:pPr>
            <w:r>
              <w:rPr>
                <w:rFonts w:ascii="仿宋_GB2312" w:hAnsi="仿宋_GB2312" w:cs="仿宋_GB2312" w:eastAsia="仿宋_GB2312"/>
                <w:sz w:val="19"/>
                <w:color w:val="000000"/>
              </w:rPr>
              <w:t>(2)供应商需根据教室面积，结合设计要求，自行设计每间教室所需教室灯及黑板灯的数量、布局，投标时提供具体的灯具布局图。</w:t>
            </w:r>
          </w:p>
          <w:p>
            <w:pPr>
              <w:pStyle w:val="null3"/>
              <w:jc w:val="left"/>
            </w:pPr>
            <w:r>
              <w:rPr>
                <w:rFonts w:ascii="仿宋_GB2312" w:hAnsi="仿宋_GB2312" w:cs="仿宋_GB2312" w:eastAsia="仿宋_GB2312"/>
                <w:sz w:val="19"/>
                <w:color w:val="000000"/>
              </w:rPr>
              <w:t>(二)质量验收标准或规范</w:t>
            </w:r>
          </w:p>
          <w:p>
            <w:pPr>
              <w:pStyle w:val="null3"/>
              <w:ind w:firstLine="380"/>
              <w:jc w:val="left"/>
            </w:pPr>
            <w:r>
              <w:rPr>
                <w:rFonts w:ascii="仿宋_GB2312" w:hAnsi="仿宋_GB2312" w:cs="仿宋_GB2312" w:eastAsia="仿宋_GB2312"/>
                <w:sz w:val="19"/>
                <w:color w:val="000000"/>
              </w:rPr>
              <w:t>执行国家标准</w:t>
            </w:r>
          </w:p>
          <w:p>
            <w:pPr>
              <w:pStyle w:val="null3"/>
              <w:jc w:val="left"/>
            </w:pPr>
            <w:r>
              <w:rPr>
                <w:rFonts w:ascii="仿宋_GB2312" w:hAnsi="仿宋_GB2312" w:cs="仿宋_GB2312" w:eastAsia="仿宋_GB2312"/>
                <w:sz w:val="19"/>
                <w:color w:val="000000"/>
              </w:rPr>
              <w:t>(三)产品质保期</w:t>
            </w:r>
          </w:p>
          <w:p>
            <w:pPr>
              <w:pStyle w:val="null3"/>
              <w:jc w:val="left"/>
            </w:pPr>
            <w:r>
              <w:rPr>
                <w:rFonts w:ascii="仿宋_GB2312" w:hAnsi="仿宋_GB2312" w:cs="仿宋_GB2312" w:eastAsia="仿宋_GB2312"/>
                <w:sz w:val="19"/>
                <w:color w:val="000000"/>
              </w:rPr>
              <w:t>1、质量保证与售后要求</w:t>
            </w:r>
          </w:p>
          <w:p>
            <w:pPr>
              <w:pStyle w:val="null3"/>
              <w:ind w:firstLine="380"/>
              <w:jc w:val="left"/>
            </w:pPr>
            <w:r>
              <w:rPr>
                <w:rFonts w:ascii="仿宋_GB2312" w:hAnsi="仿宋_GB2312" w:cs="仿宋_GB2312" w:eastAsia="仿宋_GB2312"/>
                <w:sz w:val="19"/>
                <w:color w:val="000000"/>
              </w:rPr>
              <w:t>验收合格通过之日起</w:t>
            </w:r>
            <w:r>
              <w:rPr>
                <w:rFonts w:ascii="仿宋_GB2312" w:hAnsi="仿宋_GB2312" w:cs="仿宋_GB2312" w:eastAsia="仿宋_GB2312"/>
                <w:sz w:val="19"/>
                <w:color w:val="000000"/>
              </w:rPr>
              <w:t>1年。</w:t>
            </w:r>
          </w:p>
          <w:p>
            <w:pPr>
              <w:pStyle w:val="null3"/>
              <w:jc w:val="left"/>
            </w:pPr>
            <w:r>
              <w:rPr>
                <w:rFonts w:ascii="仿宋_GB2312" w:hAnsi="仿宋_GB2312" w:cs="仿宋_GB2312" w:eastAsia="仿宋_GB2312"/>
                <w:sz w:val="19"/>
                <w:color w:val="000000"/>
              </w:rPr>
              <w:t>2、售后服务响应时间(质保期内)</w:t>
            </w:r>
          </w:p>
          <w:p>
            <w:pPr>
              <w:pStyle w:val="null3"/>
              <w:ind w:firstLine="380"/>
              <w:jc w:val="left"/>
            </w:pPr>
            <w:r>
              <w:rPr>
                <w:rFonts w:ascii="仿宋_GB2312" w:hAnsi="仿宋_GB2312" w:cs="仿宋_GB2312" w:eastAsia="仿宋_GB2312"/>
                <w:sz w:val="19"/>
                <w:color w:val="000000"/>
              </w:rPr>
              <w:t>即时响应</w:t>
            </w:r>
            <w:r>
              <w:rPr>
                <w:rFonts w:ascii="仿宋_GB2312" w:hAnsi="仿宋_GB2312" w:cs="仿宋_GB2312" w:eastAsia="仿宋_GB2312"/>
                <w:sz w:val="19"/>
                <w:color w:val="000000"/>
              </w:rPr>
              <w:t>(包括电话响应)电话响应无法解决24小时内到达现场。修复时间6小时内解决；如在6小时内无法修复，则提供部件冗余服务或采取应急措施，提供相同产品或不低于故障产品规格档次的备用产品供采购人使用，以确保货物的正常使用。</w:t>
            </w:r>
          </w:p>
          <w:p>
            <w:pPr>
              <w:pStyle w:val="null3"/>
              <w:jc w:val="left"/>
            </w:pPr>
            <w:r>
              <w:rPr>
                <w:rFonts w:ascii="仿宋_GB2312" w:hAnsi="仿宋_GB2312" w:cs="仿宋_GB2312" w:eastAsia="仿宋_GB2312"/>
                <w:sz w:val="19"/>
                <w:color w:val="000000"/>
              </w:rPr>
              <w:t>(四)违约责任</w:t>
            </w:r>
          </w:p>
          <w:p>
            <w:pPr>
              <w:pStyle w:val="null3"/>
              <w:ind w:firstLine="380"/>
              <w:jc w:val="left"/>
            </w:pPr>
            <w:r>
              <w:rPr>
                <w:rFonts w:ascii="仿宋_GB2312" w:hAnsi="仿宋_GB2312" w:cs="仿宋_GB2312" w:eastAsia="仿宋_GB2312"/>
                <w:sz w:val="19"/>
                <w:color w:val="000000"/>
              </w:rPr>
              <w:t>按合同执行。</w:t>
            </w:r>
          </w:p>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合同签订后20个日历日内完成货物的交货、安袭及调试。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进度款，合同签订之后，设备安装并且经验收合格之后无任何质量问题不计息先付40%，达到付款条件起10个工作日内，支付合同总金额的40.0%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进度款，设备运行一年后无质量问题付剩余60%款项，达到付款条件起10个工作日内，支付合同总金额的60.0%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执行国家标准，具体详见谈判文件。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验收合格通过之日起1年，具体详见谈判文件。</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开标结束后，成交供应商需提供一正一副和上传版本一致的响应文件纸质版。提交地点：西安市雁塔区雁展路莱安中心T7栋10层1006室，联系人：马宁，联系电话：13484613855。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具有独立承担民事责任能力的法人、其他组织或自然人，营业执照、税务登记证、组织机构代码证（多证合一只提供营业执照，事业单位提供事业单位法人证书， 自然人提供本人身份证）合法有效；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应提供2024年度或2025年度经审计的财务会计报告（成立时间至提交谈判响应文件截止时间不足一年的可提供成立后任意时段的资产负债表），或提交谈判响应截止时间前3个月内银行出具的资信证明，或信用担保机构出具的担保函（以上三种形式的资料提供任何一种即可）；其他组织和自然人提供银行出具的资信证明或财务报表；（注：审计报告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提供供应商投标截止日前6个月内至少一个月已缴纳的增值税纳税证明或完税证明（任意税种），依法免税的供应商应提供加盖公章的相关证明文件；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提供供应商投标截止日前6个月内至少一个月已缴纳的社会保障资金缴存单据或社保机构开具的社会保险参保缴费情况证明；依法不需要缴纳社会保障资金的供应商应提供加盖公章的相关证明文件；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 （www.creditchina.gov.cn）和“中国政府采购网”（www.ccgp.gov.cn）进行审查；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本项目专门面向中小企业采购</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w:t>
            </w:r>
          </w:p>
        </w:tc>
        <w:tc>
          <w:tcPr>
            <w:tcW w:type="dxa" w:w="1661"/>
          </w:tcPr>
          <w:p>
            <w:pPr>
              <w:pStyle w:val="null3"/>
            </w:pPr>
            <w:r>
              <w:rPr>
                <w:rFonts w:ascii="仿宋_GB2312" w:hAnsi="仿宋_GB2312" w:cs="仿宋_GB2312" w:eastAsia="仿宋_GB2312"/>
              </w:rPr>
              <w:t>谈判分项报价表.docx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★号的技术参数</w:t>
            </w:r>
          </w:p>
        </w:tc>
        <w:tc>
          <w:tcPr>
            <w:tcW w:type="dxa" w:w="3322"/>
          </w:tcPr>
          <w:p>
            <w:pPr>
              <w:pStyle w:val="null3"/>
            </w:pPr>
            <w:r>
              <w:rPr>
                <w:rFonts w:ascii="仿宋_GB2312" w:hAnsi="仿宋_GB2312" w:cs="仿宋_GB2312" w:eastAsia="仿宋_GB2312"/>
              </w:rPr>
              <w:t>带有★号的技术参数为实质性条款，不得有负偏离</w:t>
            </w:r>
          </w:p>
        </w:tc>
        <w:tc>
          <w:tcPr>
            <w:tcW w:type="dxa" w:w="1661"/>
          </w:tcPr>
          <w:p>
            <w:pPr>
              <w:pStyle w:val="null3"/>
            </w:pPr>
            <w:r>
              <w:rPr>
                <w:rFonts w:ascii="仿宋_GB2312" w:hAnsi="仿宋_GB2312" w:cs="仿宋_GB2312" w:eastAsia="仿宋_GB2312"/>
              </w:rPr>
              <w:t>谈判方案说明书.docx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详见附件：谈判分项报价表.docx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