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8073BE">
      <w:pPr>
        <w:rPr>
          <w:rFonts w:hint="eastAsia"/>
          <w:lang w:val="en-US" w:eastAsia="zh-CN"/>
        </w:rPr>
      </w:pPr>
      <w:r>
        <w:rPr>
          <w:rFonts w:hint="eastAsia"/>
          <w:lang w:val="en-US" w:eastAsia="zh-CN"/>
        </w:rPr>
        <w:t>一标段：</w:t>
      </w:r>
    </w:p>
    <w:tbl>
      <w:tblPr>
        <w:tblStyle w:val="3"/>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7"/>
        <w:gridCol w:w="417"/>
        <w:gridCol w:w="618"/>
        <w:gridCol w:w="4834"/>
        <w:gridCol w:w="417"/>
        <w:gridCol w:w="417"/>
        <w:gridCol w:w="695"/>
        <w:gridCol w:w="697"/>
      </w:tblGrid>
      <w:tr w14:paraId="7F0C2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244" w:type="pct"/>
            <w:vMerge w:val="restart"/>
            <w:vAlign w:val="center"/>
          </w:tcPr>
          <w:p w14:paraId="42F15CC9">
            <w:pPr>
              <w:jc w:val="center"/>
              <w:rPr>
                <w:rFonts w:hint="eastAsia" w:ascii="仿宋" w:hAnsi="仿宋" w:eastAsia="仿宋" w:cs="仿宋"/>
                <w:b/>
                <w:bCs/>
                <w:sz w:val="20"/>
                <w:szCs w:val="20"/>
              </w:rPr>
            </w:pPr>
            <w:r>
              <w:rPr>
                <w:rFonts w:hint="eastAsia" w:ascii="仿宋" w:hAnsi="仿宋" w:eastAsia="仿宋" w:cs="仿宋"/>
                <w:b/>
                <w:bCs/>
                <w:sz w:val="20"/>
                <w:szCs w:val="20"/>
              </w:rPr>
              <w:t>序号</w:t>
            </w:r>
          </w:p>
        </w:tc>
        <w:tc>
          <w:tcPr>
            <w:tcW w:w="244" w:type="pct"/>
            <w:vMerge w:val="restart"/>
            <w:vAlign w:val="center"/>
          </w:tcPr>
          <w:p w14:paraId="151B641C">
            <w:pPr>
              <w:jc w:val="center"/>
              <w:rPr>
                <w:rFonts w:hint="eastAsia" w:ascii="仿宋" w:hAnsi="仿宋" w:eastAsia="仿宋" w:cs="仿宋"/>
                <w:b/>
                <w:bCs/>
                <w:sz w:val="20"/>
                <w:szCs w:val="20"/>
                <w:lang w:eastAsia="zh-CN"/>
              </w:rPr>
            </w:pPr>
            <w:r>
              <w:rPr>
                <w:rFonts w:hint="eastAsia" w:ascii="仿宋" w:hAnsi="仿宋" w:eastAsia="仿宋" w:cs="仿宋"/>
                <w:b/>
                <w:bCs/>
                <w:sz w:val="20"/>
                <w:szCs w:val="20"/>
                <w:lang w:eastAsia="zh-CN"/>
              </w:rPr>
              <w:t>名称</w:t>
            </w:r>
          </w:p>
        </w:tc>
        <w:tc>
          <w:tcPr>
            <w:tcW w:w="361" w:type="pct"/>
            <w:vMerge w:val="restart"/>
            <w:vAlign w:val="center"/>
          </w:tcPr>
          <w:p w14:paraId="61B05DA9">
            <w:pPr>
              <w:jc w:val="center"/>
              <w:rPr>
                <w:rFonts w:hint="eastAsia" w:ascii="仿宋" w:hAnsi="仿宋" w:eastAsia="仿宋" w:cs="仿宋"/>
                <w:b/>
                <w:bCs/>
                <w:sz w:val="20"/>
                <w:szCs w:val="20"/>
                <w:lang w:eastAsia="zh-CN"/>
              </w:rPr>
            </w:pPr>
            <w:r>
              <w:rPr>
                <w:rFonts w:hint="eastAsia" w:ascii="仿宋" w:hAnsi="仿宋" w:eastAsia="仿宋" w:cs="仿宋"/>
                <w:b/>
                <w:bCs/>
                <w:sz w:val="20"/>
                <w:szCs w:val="20"/>
                <w:lang w:eastAsia="zh-CN"/>
              </w:rPr>
              <w:t>功能</w:t>
            </w:r>
          </w:p>
        </w:tc>
        <w:tc>
          <w:tcPr>
            <w:tcW w:w="2838" w:type="pct"/>
            <w:vMerge w:val="restart"/>
            <w:vAlign w:val="center"/>
          </w:tcPr>
          <w:p w14:paraId="56AEA151">
            <w:pPr>
              <w:jc w:val="center"/>
              <w:rPr>
                <w:rFonts w:hint="eastAsia" w:ascii="仿宋" w:hAnsi="仿宋" w:eastAsia="仿宋" w:cs="仿宋"/>
                <w:b/>
                <w:bCs/>
                <w:sz w:val="20"/>
                <w:szCs w:val="20"/>
              </w:rPr>
            </w:pPr>
            <w:r>
              <w:rPr>
                <w:rFonts w:hint="eastAsia" w:ascii="仿宋" w:hAnsi="仿宋" w:eastAsia="仿宋" w:cs="仿宋"/>
                <w:b/>
                <w:bCs/>
                <w:sz w:val="20"/>
                <w:szCs w:val="20"/>
              </w:rPr>
              <w:t>规格参数</w:t>
            </w:r>
          </w:p>
        </w:tc>
        <w:tc>
          <w:tcPr>
            <w:tcW w:w="244" w:type="pct"/>
            <w:vMerge w:val="restart"/>
            <w:vAlign w:val="center"/>
          </w:tcPr>
          <w:p w14:paraId="5F482B36">
            <w:pPr>
              <w:jc w:val="center"/>
              <w:rPr>
                <w:rFonts w:hint="eastAsia" w:ascii="仿宋" w:hAnsi="仿宋" w:eastAsia="仿宋" w:cs="仿宋"/>
                <w:b/>
                <w:bCs/>
                <w:sz w:val="20"/>
                <w:szCs w:val="20"/>
              </w:rPr>
            </w:pPr>
            <w:r>
              <w:rPr>
                <w:rFonts w:hint="eastAsia" w:ascii="仿宋" w:hAnsi="仿宋" w:eastAsia="仿宋" w:cs="仿宋"/>
                <w:b/>
                <w:bCs/>
                <w:sz w:val="20"/>
                <w:szCs w:val="20"/>
              </w:rPr>
              <w:t>单位</w:t>
            </w:r>
          </w:p>
        </w:tc>
        <w:tc>
          <w:tcPr>
            <w:tcW w:w="244" w:type="pct"/>
            <w:vMerge w:val="restart"/>
            <w:vAlign w:val="center"/>
          </w:tcPr>
          <w:p w14:paraId="3E5F3FC1">
            <w:pPr>
              <w:jc w:val="center"/>
              <w:rPr>
                <w:rFonts w:hint="eastAsia" w:ascii="仿宋" w:hAnsi="仿宋" w:eastAsia="仿宋" w:cs="仿宋"/>
                <w:b/>
                <w:bCs/>
                <w:sz w:val="20"/>
                <w:szCs w:val="20"/>
              </w:rPr>
            </w:pPr>
            <w:r>
              <w:rPr>
                <w:rFonts w:hint="eastAsia" w:ascii="仿宋" w:hAnsi="仿宋" w:eastAsia="仿宋" w:cs="仿宋"/>
                <w:b/>
                <w:bCs/>
                <w:sz w:val="20"/>
                <w:szCs w:val="20"/>
              </w:rPr>
              <w:t>数量</w:t>
            </w:r>
          </w:p>
        </w:tc>
        <w:tc>
          <w:tcPr>
            <w:tcW w:w="409" w:type="pct"/>
            <w:vAlign w:val="center"/>
          </w:tcPr>
          <w:p w14:paraId="102A4A26">
            <w:pPr>
              <w:jc w:val="center"/>
              <w:rPr>
                <w:rFonts w:hint="eastAsia" w:ascii="仿宋" w:hAnsi="仿宋" w:eastAsia="仿宋" w:cs="仿宋"/>
                <w:b/>
                <w:bCs/>
                <w:sz w:val="20"/>
                <w:szCs w:val="20"/>
                <w:highlight w:val="none"/>
              </w:rPr>
            </w:pPr>
            <w:r>
              <w:rPr>
                <w:rFonts w:hint="eastAsia" w:ascii="仿宋" w:hAnsi="仿宋" w:eastAsia="仿宋" w:cs="仿宋"/>
                <w:b/>
                <w:bCs/>
                <w:sz w:val="20"/>
                <w:szCs w:val="20"/>
                <w:highlight w:val="none"/>
                <w:lang w:val="en-US" w:eastAsia="zh-CN"/>
              </w:rPr>
              <w:t>最高限</w:t>
            </w:r>
            <w:r>
              <w:rPr>
                <w:rFonts w:hint="eastAsia" w:ascii="仿宋" w:hAnsi="仿宋" w:eastAsia="仿宋" w:cs="仿宋"/>
                <w:b/>
                <w:bCs/>
                <w:sz w:val="20"/>
                <w:szCs w:val="20"/>
                <w:highlight w:val="none"/>
              </w:rPr>
              <w:t>价</w:t>
            </w:r>
          </w:p>
        </w:tc>
        <w:tc>
          <w:tcPr>
            <w:tcW w:w="410" w:type="pct"/>
            <w:vAlign w:val="center"/>
          </w:tcPr>
          <w:p w14:paraId="3B49C6F2">
            <w:pPr>
              <w:jc w:val="center"/>
              <w:rPr>
                <w:rFonts w:hint="eastAsia" w:ascii="仿宋" w:hAnsi="仿宋" w:eastAsia="仿宋" w:cs="仿宋"/>
                <w:b/>
                <w:bCs/>
                <w:sz w:val="20"/>
                <w:szCs w:val="20"/>
              </w:rPr>
            </w:pPr>
            <w:r>
              <w:rPr>
                <w:rFonts w:hint="eastAsia" w:ascii="仿宋" w:hAnsi="仿宋" w:eastAsia="仿宋" w:cs="仿宋"/>
                <w:b/>
                <w:bCs/>
                <w:sz w:val="20"/>
                <w:szCs w:val="20"/>
              </w:rPr>
              <w:t>合计</w:t>
            </w:r>
          </w:p>
        </w:tc>
      </w:tr>
      <w:tr w14:paraId="0C1BF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244" w:type="pct"/>
            <w:vMerge w:val="continue"/>
            <w:vAlign w:val="center"/>
          </w:tcPr>
          <w:p w14:paraId="3ECAD590">
            <w:pPr>
              <w:jc w:val="center"/>
              <w:rPr>
                <w:rFonts w:hint="eastAsia" w:ascii="仿宋" w:hAnsi="仿宋" w:eastAsia="仿宋" w:cs="仿宋"/>
                <w:sz w:val="20"/>
                <w:szCs w:val="20"/>
              </w:rPr>
            </w:pPr>
          </w:p>
        </w:tc>
        <w:tc>
          <w:tcPr>
            <w:tcW w:w="244" w:type="pct"/>
            <w:vMerge w:val="continue"/>
            <w:vAlign w:val="center"/>
          </w:tcPr>
          <w:p w14:paraId="56884DD8">
            <w:pPr>
              <w:jc w:val="center"/>
              <w:rPr>
                <w:rFonts w:hint="eastAsia" w:ascii="仿宋" w:hAnsi="仿宋" w:eastAsia="仿宋" w:cs="仿宋"/>
                <w:sz w:val="20"/>
                <w:szCs w:val="20"/>
              </w:rPr>
            </w:pPr>
          </w:p>
        </w:tc>
        <w:tc>
          <w:tcPr>
            <w:tcW w:w="361" w:type="pct"/>
            <w:vMerge w:val="continue"/>
            <w:vAlign w:val="center"/>
          </w:tcPr>
          <w:p w14:paraId="7280ACBC">
            <w:pPr>
              <w:jc w:val="center"/>
              <w:rPr>
                <w:rFonts w:hint="eastAsia" w:ascii="仿宋" w:hAnsi="仿宋" w:eastAsia="仿宋" w:cs="仿宋"/>
                <w:sz w:val="20"/>
                <w:szCs w:val="20"/>
              </w:rPr>
            </w:pPr>
          </w:p>
        </w:tc>
        <w:tc>
          <w:tcPr>
            <w:tcW w:w="2838" w:type="pct"/>
            <w:vMerge w:val="continue"/>
            <w:vAlign w:val="center"/>
          </w:tcPr>
          <w:p w14:paraId="7FA12675">
            <w:pPr>
              <w:jc w:val="left"/>
              <w:rPr>
                <w:rFonts w:hint="eastAsia" w:ascii="仿宋" w:hAnsi="仿宋" w:eastAsia="仿宋" w:cs="仿宋"/>
                <w:sz w:val="20"/>
                <w:szCs w:val="20"/>
              </w:rPr>
            </w:pPr>
          </w:p>
        </w:tc>
        <w:tc>
          <w:tcPr>
            <w:tcW w:w="244" w:type="pct"/>
            <w:vMerge w:val="continue"/>
            <w:vAlign w:val="center"/>
          </w:tcPr>
          <w:p w14:paraId="07D3AC03">
            <w:pPr>
              <w:jc w:val="center"/>
              <w:rPr>
                <w:rFonts w:hint="eastAsia" w:ascii="仿宋" w:hAnsi="仿宋" w:eastAsia="仿宋" w:cs="仿宋"/>
                <w:sz w:val="20"/>
                <w:szCs w:val="20"/>
              </w:rPr>
            </w:pPr>
          </w:p>
        </w:tc>
        <w:tc>
          <w:tcPr>
            <w:tcW w:w="244" w:type="pct"/>
            <w:vMerge w:val="continue"/>
            <w:vAlign w:val="center"/>
          </w:tcPr>
          <w:p w14:paraId="791F8561">
            <w:pPr>
              <w:jc w:val="center"/>
              <w:rPr>
                <w:rFonts w:hint="eastAsia" w:ascii="仿宋" w:hAnsi="仿宋" w:eastAsia="仿宋" w:cs="仿宋"/>
                <w:sz w:val="20"/>
                <w:szCs w:val="20"/>
              </w:rPr>
            </w:pPr>
          </w:p>
        </w:tc>
        <w:tc>
          <w:tcPr>
            <w:tcW w:w="409" w:type="pct"/>
            <w:vAlign w:val="center"/>
          </w:tcPr>
          <w:p w14:paraId="1575AFBC">
            <w:pPr>
              <w:jc w:val="center"/>
              <w:rPr>
                <w:rFonts w:hint="eastAsia" w:ascii="仿宋" w:hAnsi="仿宋" w:eastAsia="仿宋" w:cs="仿宋"/>
                <w:b/>
                <w:bCs/>
                <w:sz w:val="20"/>
                <w:szCs w:val="20"/>
                <w:highlight w:val="none"/>
              </w:rPr>
            </w:pPr>
            <w:r>
              <w:rPr>
                <w:rFonts w:hint="eastAsia" w:ascii="仿宋" w:hAnsi="仿宋" w:eastAsia="仿宋" w:cs="仿宋"/>
                <w:b/>
                <w:bCs/>
                <w:sz w:val="20"/>
                <w:szCs w:val="20"/>
                <w:highlight w:val="none"/>
                <w:lang w:eastAsia="zh-CN"/>
              </w:rPr>
              <w:t>（</w:t>
            </w:r>
            <w:r>
              <w:rPr>
                <w:rFonts w:hint="eastAsia" w:ascii="仿宋" w:hAnsi="仿宋" w:eastAsia="仿宋" w:cs="仿宋"/>
                <w:b/>
                <w:bCs/>
                <w:sz w:val="20"/>
                <w:szCs w:val="20"/>
                <w:highlight w:val="none"/>
              </w:rPr>
              <w:t>万元）</w:t>
            </w:r>
          </w:p>
        </w:tc>
        <w:tc>
          <w:tcPr>
            <w:tcW w:w="410" w:type="pct"/>
            <w:vAlign w:val="center"/>
          </w:tcPr>
          <w:p w14:paraId="1240C65C">
            <w:pPr>
              <w:jc w:val="center"/>
              <w:rPr>
                <w:rFonts w:hint="eastAsia" w:ascii="仿宋" w:hAnsi="仿宋" w:eastAsia="仿宋" w:cs="仿宋"/>
                <w:b/>
                <w:bCs/>
                <w:sz w:val="20"/>
                <w:szCs w:val="20"/>
              </w:rPr>
            </w:pPr>
            <w:r>
              <w:rPr>
                <w:rFonts w:hint="eastAsia" w:ascii="仿宋" w:hAnsi="仿宋" w:eastAsia="仿宋" w:cs="仿宋"/>
                <w:b/>
                <w:bCs/>
                <w:sz w:val="20"/>
                <w:szCs w:val="20"/>
                <w:lang w:eastAsia="zh-CN"/>
              </w:rPr>
              <w:t>（</w:t>
            </w:r>
            <w:r>
              <w:rPr>
                <w:rFonts w:hint="eastAsia" w:ascii="仿宋" w:hAnsi="仿宋" w:eastAsia="仿宋" w:cs="仿宋"/>
                <w:b/>
                <w:bCs/>
                <w:sz w:val="20"/>
                <w:szCs w:val="20"/>
              </w:rPr>
              <w:t>万元）</w:t>
            </w:r>
          </w:p>
        </w:tc>
      </w:tr>
      <w:tr w14:paraId="3674B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1" w:hRule="atLeast"/>
        </w:trPr>
        <w:tc>
          <w:tcPr>
            <w:tcW w:w="244" w:type="pct"/>
            <w:vAlign w:val="center"/>
          </w:tcPr>
          <w:p w14:paraId="71BD71E1">
            <w:pPr>
              <w:jc w:val="center"/>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1</w:t>
            </w:r>
          </w:p>
        </w:tc>
        <w:tc>
          <w:tcPr>
            <w:tcW w:w="244" w:type="pct"/>
            <w:vAlign w:val="center"/>
          </w:tcPr>
          <w:p w14:paraId="73F5ECC0">
            <w:pPr>
              <w:jc w:val="center"/>
              <w:rPr>
                <w:rFonts w:hint="eastAsia" w:ascii="仿宋" w:hAnsi="仿宋" w:eastAsia="仿宋" w:cs="仿宋"/>
                <w:sz w:val="20"/>
                <w:szCs w:val="20"/>
              </w:rPr>
            </w:pPr>
            <w:r>
              <w:rPr>
                <w:rFonts w:hint="eastAsia" w:ascii="仿宋" w:hAnsi="仿宋" w:eastAsia="仿宋" w:cs="仿宋"/>
                <w:sz w:val="20"/>
                <w:szCs w:val="20"/>
              </w:rPr>
              <w:t>水生生物定性定量</w:t>
            </w:r>
          </w:p>
        </w:tc>
        <w:tc>
          <w:tcPr>
            <w:tcW w:w="361" w:type="pct"/>
            <w:vAlign w:val="center"/>
          </w:tcPr>
          <w:p w14:paraId="7665EACF">
            <w:pPr>
              <w:jc w:val="center"/>
              <w:rPr>
                <w:rFonts w:hint="eastAsia" w:ascii="仿宋" w:hAnsi="仿宋" w:eastAsia="仿宋" w:cs="仿宋"/>
                <w:sz w:val="20"/>
                <w:szCs w:val="20"/>
              </w:rPr>
            </w:pPr>
            <w:r>
              <w:rPr>
                <w:rFonts w:hint="eastAsia" w:ascii="仿宋" w:hAnsi="仿宋" w:eastAsia="仿宋" w:cs="仿宋"/>
                <w:sz w:val="20"/>
                <w:szCs w:val="20"/>
              </w:rPr>
              <w:t>浮游动物智能识别系统</w:t>
            </w:r>
          </w:p>
        </w:tc>
        <w:tc>
          <w:tcPr>
            <w:tcW w:w="2838" w:type="pct"/>
            <w:vAlign w:val="center"/>
          </w:tcPr>
          <w:p w14:paraId="6A5747B2">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1.总体要求</w:t>
            </w:r>
          </w:p>
          <w:p w14:paraId="71621914">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符合《水和废水监测分析方法》（第四版增补版）第五篇《水和废水的生物监测方法》（2002年）、HJ 1216-2021《水质 浮游植物的测定0.1mL计数框-显微镜计数法》和《水生态监测技术要求 淡水浮游动物（试行）》的要求。</w:t>
            </w:r>
          </w:p>
          <w:p w14:paraId="31988415">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2.参数要求</w:t>
            </w:r>
          </w:p>
          <w:p w14:paraId="6AF572BB">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▲2.1计数框：备有0.1ml、1ml、5ml计数框，采用多层液封、磁吸方式，使得盖框与底板保持紧密连接，保证容纳槽的密封，组装和拆卸方便快捷（投标人须提供加盖生产厂家公章的产品实物照片作为证明）；</w:t>
            </w:r>
          </w:p>
          <w:p w14:paraId="52D63FB1">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2.2显微镜：用于扫描拍摄和智能检测的生物显微镜，含显微镜机架、三目观察筒、D型6孔物镜转盘、镜臂、平场消色差物镜；</w:t>
            </w:r>
          </w:p>
          <w:p w14:paraId="46B66604">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2.3物镜：配备4倍、10倍、20倍、40倍物镜一套，保证图像的锐度、清晰度和色彩还原性，为数字成像提供高质量和高性能的解决方案；</w:t>
            </w:r>
          </w:p>
          <w:p w14:paraId="389D3F2D">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2.4光学系统：无限远光学系统，齐焦距离≥60mm；</w:t>
            </w:r>
          </w:p>
          <w:p w14:paraId="7106A0E0">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2.5聚光镜：摆出式聚光镜，NA 0.9/0.25，齿轮齿条调节，可升降，孔径光栏有刻度标记，样品检测在40倍镜、20倍镜、10倍镜、4倍镜不同需求情况下自动切换聚光镜；</w:t>
            </w:r>
          </w:p>
          <w:p w14:paraId="0BB8A00A">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2.6相机：配备于生物显微镜上的工业相机，像素不低于3000万，连续拍摄时帧率不低于每秒30帧；</w:t>
            </w:r>
          </w:p>
          <w:p w14:paraId="1FE49B78">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2.7连续多液层扫描拍摄方式：搭载生物显微镜的载物台在X/Y/Z轴方向微米级运动，并具备闭环运动控制功能，可实现连续多液层扫描拍摄和自动视野切换拍摄，获取样品中不同视野和不同液层位置上浮游生物对焦清晰的显微图像，为智能检测识别提供技术支撑（投标人须提供加盖生产厂家公章的由设备自动拍摄的一个视野内不同焦平面图像、自动合成后带识别结果的图像）；</w:t>
            </w:r>
          </w:p>
          <w:p w14:paraId="742E6E24">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2.8对焦方式：自动对焦，不需要人工辅助找到初始位置或清晰的焦平面；</w:t>
            </w:r>
          </w:p>
          <w:p w14:paraId="6338F556">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▲2.9物镜自动切换：仪器在检测浮游植物、浮游动物（枝角桡足）、浮游动物（轮虫）、原生动物样品时，物镜自动切换40倍镜、20倍镜、10倍镜、4倍镜，无需人工辅助。</w:t>
            </w:r>
          </w:p>
          <w:p w14:paraId="3D5FDB93">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2.10实时图像及合成图像：图片拍摄与自动识别计数同步进行，检测过程中，软件界面能显示生物显微镜实时图像，及当前视野不同焦平面图片合成处理后的图像，合成图上显示浮游生物名称（投标人须提供加盖生产厂家公章的软件界面截图作为证明）；</w:t>
            </w:r>
          </w:p>
          <w:p w14:paraId="37FD999B">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2.11浮游植物检测：浮游植物手动进样可一次检测8个样品，计数框须具有2层及以上密封结构，待测水样8小时不产生气泡，并能够对每个检测样品设置浓缩倍率换算系数和检测视野数，显微镜自动切换40倍物镜、自动对焦、自动拍照、自动识别（投标人须提供加盖生产厂家公章的仪器检测运行中的照片和相关密封技术作为证明）；</w:t>
            </w:r>
          </w:p>
          <w:p w14:paraId="1670F2D8">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★2.12枝角类和桡足类检测：样品须置于5 ml浮游生物计数框内，计数框须具有2层及以上密封结构，待测水样8小时不产生气泡，显微镜自动切换4倍物镜、自动对焦、自动拍照、自动识别，一次可检测4个样品（投标人须提供加盖生产厂家公章的仪器检测过程中的照片作为证明）；</w:t>
            </w:r>
          </w:p>
          <w:p w14:paraId="4A61EF82">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2.13轮虫检测：样品须置于1ml浮游生物计数框内，计数框须具有2层及以上密封结构，待测水样8小时不产生气泡，显微镜自动切换10倍物镜、自动对焦、自动拍照、自动识别，一次可检测8个样品（投标人须提供加盖生产厂家公章的仪器检测过程中的照片作为证明）；</w:t>
            </w:r>
          </w:p>
          <w:p w14:paraId="52756103">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2.14原生动物检测：样品须置于0.1ml浮游生物计数框内，计数框须具有2层及以上密封结构，待测水样8小时不产生气泡，显微镜自动切换20倍物镜、自动对焦、自动拍照、自动识别，一次可检测6个样品（投标人须提供加盖生产厂家公章的仪器检测过程中的照片作为证明）；</w:t>
            </w:r>
          </w:p>
          <w:p w14:paraId="7784E18F">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▲2.15一体化设计：主机自带一块不小于18.5寸高清显示屏；</w:t>
            </w:r>
          </w:p>
          <w:p w14:paraId="2E435015">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2.16样品分析结果动态展示功能：在样品检测过程中，软件能够动态地显示当前视野下样品的浮游生物分析数据，即当前视野拍摄完成后可以立即展示该视野的分析结果，并同步更新样品分析数据，然后再进行下一个视野的拍摄和分析。更新的样品分析数据包括：名称、数量、密度、生物量、密度占比、生物量占比和是否优势种属等数据（投标人须提供样品检测时连续不少于两个视野的实时显示扫描图像和附带浮游生物名称的合成图像的软件界面截图并加盖制造商公章）；</w:t>
            </w:r>
          </w:p>
          <w:p w14:paraId="70E594E4">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2.17样品检测状态动态展示功能：在进行样品分析时，软件能够动态地显示样品检测的状态，包括：样品进样状态、回零状态、当前样品检测视野数、当前样品耗时、样品总耗时、密度标准差变化曲线等（投标人须提供加盖生产厂家公章的软件界面截图作为证明）；</w:t>
            </w:r>
          </w:p>
          <w:p w14:paraId="6EA4DB15">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2.18数据定位功能：对已检测的样本，可通过浮游生物种属名称定位到其对应的原始图片及合成图片，以方便相关人员学习和比对；</w:t>
            </w:r>
          </w:p>
          <w:p w14:paraId="6548A87C">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2.19鉴别方式：融合深度神经网络和专家知识辅助的浮游生物自动识别，在实验员没有浮游生物专业知识的情况下应能独立完成仪器操作并获取数据；</w:t>
            </w:r>
          </w:p>
          <w:p w14:paraId="26F2ABE4">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2.20识别种类：能自动识别常见的藻属310个属以上，浮游动物100个以上大类或属；</w:t>
            </w:r>
          </w:p>
          <w:p w14:paraId="7A22B2C2">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2.21检测数据：自动获取精确到属的浮游藻类和浮游动物检测数据，浮游藻类包括门、名称，当前数量，数量占比，密度，生物量，以及样本的总密度，生物量等数据，浮游动物包含类别、名称、当前数量，数量占比，密度，以及样本的总密度；</w:t>
            </w:r>
          </w:p>
          <w:p w14:paraId="45DF1072">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2.22评价指数：自动计算香农-威纳指数、均匀性指数、丰富度指数；</w:t>
            </w:r>
          </w:p>
          <w:p w14:paraId="61588E20">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2.23标准图谱：系统配有浮游藻类和浮游动物标准图谱，供用户参考学习；</w:t>
            </w:r>
          </w:p>
          <w:p w14:paraId="7CC99C68">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2.24人工校验：结合识别图像信息，用户可增加、删减、修改识别物种信息，并实时更新样品分析结果，实现人工数据核对；</w:t>
            </w:r>
          </w:p>
          <w:p w14:paraId="252FF120">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3.配置：</w:t>
            </w:r>
          </w:p>
          <w:p w14:paraId="28E99C94">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 xml:space="preserve">3.1浮游生物快速浓缩仪           1套  </w:t>
            </w:r>
          </w:p>
          <w:p w14:paraId="741D00A6">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3.2控制系统（含电脑达到或优于：8G显存显卡，16GB内存，4TB硬盘）</w:t>
            </w:r>
            <w:r>
              <w:rPr>
                <w:rFonts w:hint="eastAsia" w:ascii="仿宋" w:hAnsi="仿宋" w:eastAsia="仿宋" w:cs="仿宋"/>
                <w:i w:val="0"/>
                <w:iCs w:val="0"/>
                <w:color w:val="auto"/>
                <w:kern w:val="0"/>
                <w:sz w:val="20"/>
                <w:szCs w:val="20"/>
                <w:u w:val="none"/>
                <w:lang w:val="en-US" w:eastAsia="zh-CN"/>
              </w:rPr>
              <w:tab/>
            </w:r>
            <w:r>
              <w:rPr>
                <w:rFonts w:hint="eastAsia" w:ascii="仿宋" w:hAnsi="仿宋" w:eastAsia="仿宋" w:cs="仿宋"/>
                <w:i w:val="0"/>
                <w:iCs w:val="0"/>
                <w:color w:val="auto"/>
                <w:kern w:val="0"/>
                <w:sz w:val="20"/>
                <w:szCs w:val="20"/>
                <w:u w:val="none"/>
                <w:lang w:val="en-US" w:eastAsia="zh-CN"/>
              </w:rPr>
              <w:t xml:space="preserve">  1套                </w:t>
            </w:r>
          </w:p>
          <w:p w14:paraId="38C2BE13">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 xml:space="preserve">3.3物镜自动切换系统         1套                      </w:t>
            </w:r>
          </w:p>
          <w:p w14:paraId="0A60401A">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3.4数字显微影像自动扫描系统</w:t>
            </w:r>
            <w:r>
              <w:rPr>
                <w:rFonts w:hint="eastAsia" w:ascii="仿宋" w:hAnsi="仿宋" w:eastAsia="仿宋" w:cs="仿宋"/>
                <w:i w:val="0"/>
                <w:iCs w:val="0"/>
                <w:color w:val="auto"/>
                <w:kern w:val="0"/>
                <w:sz w:val="20"/>
                <w:szCs w:val="20"/>
                <w:u w:val="none"/>
                <w:lang w:val="en-US" w:eastAsia="zh-CN"/>
              </w:rPr>
              <w:tab/>
            </w:r>
            <w:r>
              <w:rPr>
                <w:rFonts w:hint="eastAsia" w:ascii="仿宋" w:hAnsi="仿宋" w:eastAsia="仿宋" w:cs="仿宋"/>
                <w:i w:val="0"/>
                <w:iCs w:val="0"/>
                <w:color w:val="auto"/>
                <w:kern w:val="0"/>
                <w:sz w:val="20"/>
                <w:szCs w:val="20"/>
                <w:u w:val="none"/>
                <w:lang w:val="en-US" w:eastAsia="zh-CN"/>
              </w:rPr>
              <w:t xml:space="preserve">    1套                  </w:t>
            </w:r>
          </w:p>
          <w:p w14:paraId="1537EE6F">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 xml:space="preserve">3.5图像采集系统         1套                             </w:t>
            </w:r>
          </w:p>
          <w:p w14:paraId="5DC35709">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3.6浮游藻类智能识别软件模块</w:t>
            </w:r>
            <w:r>
              <w:rPr>
                <w:rFonts w:hint="eastAsia" w:ascii="仿宋" w:hAnsi="仿宋" w:eastAsia="仿宋" w:cs="仿宋"/>
                <w:i w:val="0"/>
                <w:iCs w:val="0"/>
                <w:color w:val="auto"/>
                <w:kern w:val="0"/>
                <w:sz w:val="20"/>
                <w:szCs w:val="20"/>
                <w:u w:val="none"/>
                <w:lang w:val="en-US" w:eastAsia="zh-CN"/>
              </w:rPr>
              <w:tab/>
            </w:r>
            <w:r>
              <w:rPr>
                <w:rFonts w:hint="eastAsia" w:ascii="仿宋" w:hAnsi="仿宋" w:eastAsia="仿宋" w:cs="仿宋"/>
                <w:i w:val="0"/>
                <w:iCs w:val="0"/>
                <w:color w:val="auto"/>
                <w:kern w:val="0"/>
                <w:sz w:val="20"/>
                <w:szCs w:val="20"/>
                <w:u w:val="none"/>
                <w:lang w:val="en-US" w:eastAsia="zh-CN"/>
              </w:rPr>
              <w:t xml:space="preserve">    1套                      </w:t>
            </w:r>
          </w:p>
          <w:p w14:paraId="7E98DA7A">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3.7浮游动物智能识别软件模块</w:t>
            </w:r>
            <w:r>
              <w:rPr>
                <w:rFonts w:hint="eastAsia" w:ascii="仿宋" w:hAnsi="仿宋" w:eastAsia="仿宋" w:cs="仿宋"/>
                <w:i w:val="0"/>
                <w:iCs w:val="0"/>
                <w:color w:val="auto"/>
                <w:kern w:val="0"/>
                <w:sz w:val="20"/>
                <w:szCs w:val="20"/>
                <w:u w:val="none"/>
                <w:lang w:val="en-US" w:eastAsia="zh-CN"/>
              </w:rPr>
              <w:tab/>
            </w:r>
            <w:r>
              <w:rPr>
                <w:rFonts w:hint="eastAsia" w:ascii="仿宋" w:hAnsi="仿宋" w:eastAsia="仿宋" w:cs="仿宋"/>
                <w:i w:val="0"/>
                <w:iCs w:val="0"/>
                <w:color w:val="auto"/>
                <w:kern w:val="0"/>
                <w:sz w:val="20"/>
                <w:szCs w:val="20"/>
                <w:u w:val="none"/>
                <w:lang w:val="en-US" w:eastAsia="zh-CN"/>
              </w:rPr>
              <w:t xml:space="preserve">    1套                   </w:t>
            </w:r>
          </w:p>
          <w:p w14:paraId="6028299B">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sz w:val="20"/>
                <w:szCs w:val="20"/>
              </w:rPr>
            </w:pPr>
            <w:r>
              <w:rPr>
                <w:rFonts w:hint="eastAsia" w:ascii="仿宋" w:hAnsi="仿宋" w:eastAsia="仿宋" w:cs="仿宋"/>
                <w:i w:val="0"/>
                <w:iCs w:val="0"/>
                <w:color w:val="auto"/>
                <w:kern w:val="0"/>
                <w:sz w:val="20"/>
                <w:szCs w:val="20"/>
                <w:u w:val="none"/>
                <w:lang w:val="en-US" w:eastAsia="zh-CN"/>
              </w:rPr>
              <w:t xml:space="preserve">4.售后服务：整机质保≥3年；提供免费上门安装调试、人员培训。                  </w:t>
            </w:r>
          </w:p>
        </w:tc>
        <w:tc>
          <w:tcPr>
            <w:tcW w:w="244" w:type="pct"/>
            <w:vAlign w:val="center"/>
          </w:tcPr>
          <w:p w14:paraId="16A4DBC6">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sz w:val="20"/>
                <w:szCs w:val="20"/>
              </w:rPr>
            </w:pPr>
            <w:r>
              <w:rPr>
                <w:rFonts w:hint="eastAsia" w:ascii="仿宋" w:hAnsi="仿宋" w:eastAsia="仿宋" w:cs="仿宋"/>
                <w:i w:val="0"/>
                <w:iCs w:val="0"/>
                <w:color w:val="auto"/>
                <w:kern w:val="0"/>
                <w:sz w:val="20"/>
                <w:szCs w:val="20"/>
                <w:u w:val="none"/>
                <w:lang w:val="en-US" w:eastAsia="zh-CN"/>
              </w:rPr>
              <w:t>套</w:t>
            </w:r>
          </w:p>
        </w:tc>
        <w:tc>
          <w:tcPr>
            <w:tcW w:w="244" w:type="pct"/>
            <w:vAlign w:val="center"/>
          </w:tcPr>
          <w:p w14:paraId="7516DF75">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sz w:val="20"/>
                <w:szCs w:val="20"/>
              </w:rPr>
            </w:pPr>
            <w:r>
              <w:rPr>
                <w:rFonts w:hint="eastAsia" w:ascii="仿宋" w:hAnsi="仿宋" w:eastAsia="仿宋" w:cs="仿宋"/>
                <w:i w:val="0"/>
                <w:iCs w:val="0"/>
                <w:color w:val="auto"/>
                <w:kern w:val="0"/>
                <w:sz w:val="20"/>
                <w:szCs w:val="20"/>
                <w:u w:val="none"/>
                <w:lang w:val="en-US" w:eastAsia="zh-CN"/>
              </w:rPr>
              <w:t>1</w:t>
            </w:r>
          </w:p>
        </w:tc>
        <w:tc>
          <w:tcPr>
            <w:tcW w:w="409" w:type="pct"/>
            <w:vAlign w:val="center"/>
          </w:tcPr>
          <w:p w14:paraId="01D62AEF">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b/>
                <w:bCs/>
                <w:sz w:val="20"/>
                <w:szCs w:val="20"/>
                <w:highlight w:val="none"/>
                <w:lang w:eastAsia="zh-CN"/>
              </w:rPr>
            </w:pPr>
            <w:r>
              <w:rPr>
                <w:rFonts w:hint="eastAsia" w:ascii="仿宋" w:hAnsi="仿宋" w:eastAsia="仿宋" w:cs="仿宋"/>
                <w:i w:val="0"/>
                <w:iCs w:val="0"/>
                <w:color w:val="auto"/>
                <w:kern w:val="0"/>
                <w:sz w:val="20"/>
                <w:szCs w:val="20"/>
                <w:u w:val="none"/>
                <w:lang w:val="en-US" w:eastAsia="zh-CN"/>
              </w:rPr>
              <w:t>85</w:t>
            </w:r>
          </w:p>
        </w:tc>
        <w:tc>
          <w:tcPr>
            <w:tcW w:w="410" w:type="pct"/>
            <w:vAlign w:val="center"/>
          </w:tcPr>
          <w:p w14:paraId="605D6B68">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b/>
                <w:bCs/>
                <w:sz w:val="20"/>
                <w:szCs w:val="20"/>
                <w:lang w:eastAsia="zh-CN"/>
              </w:rPr>
            </w:pPr>
            <w:r>
              <w:rPr>
                <w:rFonts w:hint="eastAsia" w:ascii="仿宋" w:hAnsi="仿宋" w:eastAsia="仿宋" w:cs="仿宋"/>
                <w:i w:val="0"/>
                <w:iCs w:val="0"/>
                <w:color w:val="auto"/>
                <w:kern w:val="0"/>
                <w:sz w:val="20"/>
                <w:szCs w:val="20"/>
                <w:u w:val="none"/>
                <w:lang w:val="en-US" w:eastAsia="zh-CN"/>
              </w:rPr>
              <w:t>85</w:t>
            </w:r>
          </w:p>
        </w:tc>
      </w:tr>
      <w:tr w14:paraId="560FA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1" w:hRule="atLeast"/>
        </w:trPr>
        <w:tc>
          <w:tcPr>
            <w:tcW w:w="244" w:type="pct"/>
            <w:vAlign w:val="center"/>
          </w:tcPr>
          <w:p w14:paraId="13D6E309">
            <w:pPr>
              <w:jc w:val="center"/>
              <w:rPr>
                <w:rFonts w:hint="default" w:ascii="仿宋" w:hAnsi="仿宋" w:eastAsia="仿宋" w:cs="仿宋"/>
                <w:sz w:val="20"/>
                <w:szCs w:val="20"/>
                <w:lang w:val="en-US" w:eastAsia="zh-CN"/>
              </w:rPr>
            </w:pPr>
            <w:r>
              <w:rPr>
                <w:rFonts w:hint="eastAsia" w:ascii="仿宋" w:hAnsi="仿宋" w:eastAsia="仿宋" w:cs="仿宋"/>
                <w:sz w:val="20"/>
                <w:szCs w:val="20"/>
                <w:lang w:val="en-US" w:eastAsia="zh-CN"/>
              </w:rPr>
              <w:t>2</w:t>
            </w:r>
          </w:p>
        </w:tc>
        <w:tc>
          <w:tcPr>
            <w:tcW w:w="244" w:type="pct"/>
            <w:vAlign w:val="center"/>
          </w:tcPr>
          <w:p w14:paraId="06D3E541">
            <w:pPr>
              <w:jc w:val="center"/>
              <w:rPr>
                <w:rFonts w:hint="eastAsia" w:ascii="仿宋" w:hAnsi="仿宋" w:eastAsia="仿宋" w:cs="仿宋"/>
                <w:sz w:val="20"/>
                <w:szCs w:val="20"/>
              </w:rPr>
            </w:pPr>
            <w:r>
              <w:rPr>
                <w:rFonts w:hint="eastAsia" w:ascii="仿宋" w:hAnsi="仿宋" w:eastAsia="仿宋" w:cs="仿宋"/>
                <w:sz w:val="20"/>
                <w:szCs w:val="20"/>
              </w:rPr>
              <w:t>水生生物定性定量</w:t>
            </w:r>
          </w:p>
        </w:tc>
        <w:tc>
          <w:tcPr>
            <w:tcW w:w="361" w:type="pct"/>
            <w:vAlign w:val="center"/>
          </w:tcPr>
          <w:p w14:paraId="24752813">
            <w:pPr>
              <w:jc w:val="center"/>
              <w:rPr>
                <w:rFonts w:hint="eastAsia" w:ascii="仿宋" w:hAnsi="仿宋" w:eastAsia="仿宋" w:cs="仿宋"/>
                <w:sz w:val="20"/>
                <w:szCs w:val="20"/>
              </w:rPr>
            </w:pPr>
            <w:r>
              <w:rPr>
                <w:rFonts w:hint="eastAsia" w:ascii="仿宋" w:hAnsi="仿宋" w:eastAsia="仿宋" w:cs="仿宋"/>
                <w:sz w:val="20"/>
                <w:szCs w:val="20"/>
              </w:rPr>
              <w:t>底栖动物鉴别系统</w:t>
            </w:r>
          </w:p>
          <w:p w14:paraId="632273F8">
            <w:pPr>
              <w:jc w:val="center"/>
              <w:rPr>
                <w:rFonts w:hint="eastAsia" w:ascii="仿宋" w:hAnsi="仿宋" w:eastAsia="仿宋" w:cs="仿宋"/>
                <w:sz w:val="20"/>
                <w:szCs w:val="20"/>
                <w:lang w:eastAsia="zh-CN"/>
              </w:rPr>
            </w:pPr>
            <w:r>
              <w:rPr>
                <w:rFonts w:hint="eastAsia" w:ascii="仿宋" w:hAnsi="仿宋" w:eastAsia="仿宋" w:cs="仿宋"/>
                <w:b/>
                <w:bCs/>
                <w:sz w:val="20"/>
                <w:szCs w:val="20"/>
                <w:lang w:eastAsia="zh-CN"/>
              </w:rPr>
              <w:t>（</w:t>
            </w:r>
            <w:r>
              <w:rPr>
                <w:rFonts w:hint="eastAsia" w:ascii="仿宋" w:hAnsi="仿宋" w:eastAsia="仿宋" w:cs="仿宋"/>
                <w:b/>
                <w:bCs/>
                <w:sz w:val="20"/>
                <w:szCs w:val="20"/>
                <w:lang w:val="en-US" w:eastAsia="zh-CN"/>
              </w:rPr>
              <w:t>核心产品</w:t>
            </w:r>
            <w:r>
              <w:rPr>
                <w:rFonts w:hint="eastAsia" w:ascii="仿宋" w:hAnsi="仿宋" w:eastAsia="仿宋" w:cs="仿宋"/>
                <w:b/>
                <w:bCs/>
                <w:sz w:val="20"/>
                <w:szCs w:val="20"/>
                <w:lang w:eastAsia="zh-CN"/>
              </w:rPr>
              <w:t>）</w:t>
            </w:r>
          </w:p>
        </w:tc>
        <w:tc>
          <w:tcPr>
            <w:tcW w:w="2838" w:type="pct"/>
            <w:vAlign w:val="center"/>
          </w:tcPr>
          <w:p w14:paraId="6E26AF5D">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1.控制系统</w:t>
            </w:r>
          </w:p>
          <w:p w14:paraId="3E92A020">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1.1系统一体化：整个系统一体化设计，集成数字显微扫描模块、拍照成像模块、识别模块和存储显示、以及控制模块等（投标人须提供第三方计量测试机构出具的测试报告以及仪器检测过程中的照片进行佐证）；</w:t>
            </w:r>
          </w:p>
          <w:p w14:paraId="5B2D46E4">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1.2 控制器配置：8核16线程，运行内存不低于16G，通讯接口不少于2个；</w:t>
            </w:r>
          </w:p>
          <w:p w14:paraId="096EB722">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1.3 连续变倍：支持1X到20X连续变倍，在全倍率范围内保证图像的锐度、清晰度和色彩还原性，为数字成像提供高质量和高性能的解决方案；</w:t>
            </w:r>
          </w:p>
          <w:p w14:paraId="082C3E16">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★1.4 扫描方式：搭载具备X/Y/Z三轴方向移动功能的电子显微集成相机，实现微米级运动，可实现连续多平面连续扫描拍摄，获取样品中不同视野和不同点位的清晰显微图像，为智能检测与识别提供技术支撑（投标人须提供第三方计量测试机构出具的测试报告以及仪器检测过程中的照片进行佐证）；</w:t>
            </w:r>
          </w:p>
          <w:p w14:paraId="3162F56B">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1.5 载物台放置载物盘：载物盘采用分区设定，配置黑色底盘，可实现一次性连续扫描，提高图像对比度与清晰度（投标人须提供第三方计量测试机构出具的测试报告以及仪器检测过程中的照片进行佐证）；</w:t>
            </w:r>
          </w:p>
          <w:p w14:paraId="0C674091">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1.6 光源系统：采用双支机器视觉光源，提供匀光补光照射，避免明显圆形光斑；支持程控或手控补光强度，使关照条件自动配备底栖动物样品拍摄需求，亮度范围：0～99%；</w:t>
            </w:r>
          </w:p>
          <w:p w14:paraId="08EC38FA">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1.7拍照模块：系统标配不低于500万像素高分辨率相机，可满足毫米级体积底栖生物样品的成像需求；支持扩展不低于4500万像素的更高分辨率相机，用于毫米级以下体积底栖生物样品的识别；</w:t>
            </w:r>
          </w:p>
          <w:p w14:paraId="0E478F5B">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1.8 格子盘检测模式下，单次可检测不少于90个体长不超过22毫米的中、小体型的底栖动物个体，放大倍数1-20倍，可在2分钟内完成单盘样品的批量拍摄和检测识别过程；</w:t>
            </w:r>
          </w:p>
          <w:p w14:paraId="5B682117">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1.9 平盘检测模式下，用户可把底栖动物样品直接放在托盘中进行识别，支持检测体长超过22毫米的大体型底栖动物个体，放大倍数1-4.8倍，可在1分钟内完成拍摄和识别过程。</w:t>
            </w:r>
          </w:p>
          <w:p w14:paraId="716CA1EE">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2.图像采集系统</w:t>
            </w:r>
          </w:p>
          <w:p w14:paraId="69AA44DE">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2.1 提供多种对焦方式，对焦区域可调；支持多种对焦，在高倍率下可将多个对焦区域通过实时处理，获取更高质量的图像；</w:t>
            </w:r>
          </w:p>
          <w:p w14:paraId="7E40971D">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2.2 支持自动光学变焦与物理变焦条件下的图像识别，部分底栖动物种类具备识别至属级别的能力；</w:t>
            </w:r>
          </w:p>
          <w:p w14:paraId="5CAA4E42">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2.3 检测样品：样品适用尺寸不小于1mm；</w:t>
            </w:r>
          </w:p>
          <w:p w14:paraId="092BD9A6">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2.4 自动化程度：系统可自动完成底栖动物识别、分类、计数与统计分析,并自动生成鉴定分析报告；</w:t>
            </w:r>
          </w:p>
          <w:p w14:paraId="1D9959C3">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2.5 智能识别与分类：基于 AI 深度学习的底栖动物自动识别系统；部分种类可扩展到属级别识别；分类识别与计数过程自动完成；支持本地扩展功能，可快速导入并训练新物种；</w:t>
            </w:r>
          </w:p>
          <w:p w14:paraId="0567F2C1">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▲2.6 实时观察：实现图片拍摄与自动识别、计数的同步进行，检测过程中，软件界面可实时显示体视显微镜实时图像及对应的底栖动物名称，支持图像预识别功能（投标人须提供第三方计量测试机构出具的测试报告以及仪器检测过程中的照片进行佐证）；</w:t>
            </w:r>
          </w:p>
          <w:p w14:paraId="6974ECD8">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▲2.7 样品在线展示功能：在样品检测过程中，软件可实时显示当前视野下底栖动物的识别数据；当前视野拍摄完成后，可立即展示该视野的分析结果，再进行下一个视野的拍摄与分析（投标人须提供第三方计量测试机构出具的测试报告以及仪器检测过程中的照片进行佐证）；</w:t>
            </w:r>
          </w:p>
          <w:p w14:paraId="59DD0EC1">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3.样品数据图库：</w:t>
            </w:r>
          </w:p>
          <w:p w14:paraId="547ADA02">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3.1系统采用深度融合卷积神经网络（CNN）技术，能够对底栖生物实现自动识别；</w:t>
            </w:r>
          </w:p>
          <w:p w14:paraId="5597D433">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3.2底栖动物智能识别系统搭载的智能识别模型基于至少15万张底栖动物照片进行训练，底栖动物分类库包含不少于86个科属（250多种）以上常见底栖动物（投标人须提供第三方计量测试机构出具的测试报告以及仪器检测过程中的照片进行佐证）；</w:t>
            </w:r>
          </w:p>
          <w:p w14:paraId="55900E0D">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3.3样品识别率：部分常见种类的底栖动物识别准确率不低于90%；</w:t>
            </w:r>
          </w:p>
          <w:p w14:paraId="6CC695FC">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3.4 重复性测试：相对偏差≤10%；</w:t>
            </w:r>
          </w:p>
          <w:p w14:paraId="39B4992C">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3.5 数据存储：支持用户管理、用户登录及用户数据库保存；系统识别结果可与标准图谱进行对比分析说明；分类展示支持列表或树形结构，支持检索与查询，并展示对应标准图像；支持结果回放功能；支持拍照图片放大、缩小查看；支持模型置信度、交并比等参数展示；图片集识别结果支持入库管理，可以查询历史数据集；支持将识别结果以图标模式展示并导入excel数据库；支持一键导出统计信息等功能（投标人须提供第三方计量测试机构出具的测试报告以及仪器检测过程中的照片进行佐证）；</w:t>
            </w:r>
          </w:p>
          <w:p w14:paraId="214FD132">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3.6 标准图谱：系统内置底栖动物标准图谱，供用户比对、学习与参考使用（投标人须提供第三方计量测试机构出具的测试报告以及仪器检测过程中的照片进行佐证）；</w:t>
            </w:r>
          </w:p>
          <w:p w14:paraId="74E8C458">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3.7 本地数据库建立：支持根据本地底栖动物种类情况，扩展新增需要识别的底栖动物种类；</w:t>
            </w:r>
          </w:p>
          <w:p w14:paraId="3E7AC403">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3.8 强化识别功能：支持普通照片导入后，从本地数据库进行比对、筛选，并输出识别结果；</w:t>
            </w:r>
          </w:p>
          <w:p w14:paraId="2CDA5FB1">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3.9 人工校验：支持结合识别图像信息，由用户对识别物种进行增加、删减或修改，并实时更新样品分析结果，实现人工数据复核；</w:t>
            </w:r>
          </w:p>
          <w:p w14:paraId="0F090C83">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▲3.10带数据库终身免费升级服务承诺函。</w:t>
            </w:r>
          </w:p>
          <w:p w14:paraId="207A6BD6">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4.配置：</w:t>
            </w:r>
          </w:p>
          <w:p w14:paraId="22447C41">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4.1底栖动物智能识别整机机架        1套</w:t>
            </w:r>
          </w:p>
          <w:p w14:paraId="214258D1">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4.2控制系统 （8G显存显卡，16GB内存，4TB硬盘）                   1套</w:t>
            </w:r>
          </w:p>
          <w:p w14:paraId="4BB0A2F0">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4.3显示器</w:t>
            </w:r>
            <w:r>
              <w:rPr>
                <w:rFonts w:hint="eastAsia" w:ascii="仿宋" w:hAnsi="仿宋" w:eastAsia="仿宋" w:cs="仿宋"/>
                <w:i w:val="0"/>
                <w:iCs w:val="0"/>
                <w:color w:val="auto"/>
                <w:kern w:val="0"/>
                <w:sz w:val="20"/>
                <w:szCs w:val="20"/>
                <w:highlight w:val="none"/>
                <w:u w:val="none"/>
                <w:lang w:val="en-US" w:eastAsia="zh-CN"/>
              </w:rPr>
              <w:t>24寸</w:t>
            </w:r>
            <w:r>
              <w:rPr>
                <w:rFonts w:hint="eastAsia" w:ascii="仿宋" w:hAnsi="仿宋" w:eastAsia="仿宋" w:cs="仿宋"/>
                <w:i w:val="0"/>
                <w:iCs w:val="0"/>
                <w:color w:val="auto"/>
                <w:kern w:val="0"/>
                <w:sz w:val="20"/>
                <w:szCs w:val="20"/>
                <w:u w:val="none"/>
                <w:lang w:val="en-US" w:eastAsia="zh-CN"/>
              </w:rPr>
              <w:t xml:space="preserve">            1台</w:t>
            </w:r>
          </w:p>
          <w:p w14:paraId="7F3CA851">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4.4连续变倍显微集成相机   1套</w:t>
            </w:r>
          </w:p>
          <w:p w14:paraId="1A5E2590">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4.5底栖动物自动识别软件   1套</w:t>
            </w:r>
          </w:p>
          <w:p w14:paraId="3868DBA7">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4.6图像采集系统           1套</w:t>
            </w:r>
          </w:p>
          <w:p w14:paraId="430D3F68">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4.7配套耗材：样品格盘     1个</w:t>
            </w:r>
          </w:p>
          <w:p w14:paraId="73FA3873">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4.8配套耗材：样品平盘     1个</w:t>
            </w:r>
          </w:p>
          <w:p w14:paraId="62EA7C67">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4.9配套耗材：底栖动物保存液（不少于5L）</w:t>
            </w:r>
          </w:p>
          <w:p w14:paraId="4E10771D">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sz w:val="20"/>
                <w:szCs w:val="20"/>
              </w:rPr>
            </w:pPr>
            <w:r>
              <w:rPr>
                <w:rFonts w:hint="eastAsia" w:ascii="仿宋" w:hAnsi="仿宋" w:eastAsia="仿宋" w:cs="仿宋"/>
                <w:i w:val="0"/>
                <w:iCs w:val="0"/>
                <w:color w:val="auto"/>
                <w:kern w:val="0"/>
                <w:sz w:val="20"/>
                <w:szCs w:val="20"/>
                <w:u w:val="none"/>
                <w:lang w:val="en-US" w:eastAsia="zh-CN"/>
              </w:rPr>
              <w:t>5.售后服务：整机质保≥3年；提供免费上门安装调试、人员培训。</w:t>
            </w:r>
          </w:p>
        </w:tc>
        <w:tc>
          <w:tcPr>
            <w:tcW w:w="244" w:type="pct"/>
            <w:vAlign w:val="center"/>
          </w:tcPr>
          <w:p w14:paraId="7BA5AC87">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sz w:val="20"/>
                <w:szCs w:val="20"/>
              </w:rPr>
            </w:pPr>
            <w:r>
              <w:rPr>
                <w:rFonts w:hint="eastAsia" w:ascii="仿宋" w:hAnsi="仿宋" w:eastAsia="仿宋" w:cs="仿宋"/>
                <w:i w:val="0"/>
                <w:iCs w:val="0"/>
                <w:color w:val="000000"/>
                <w:kern w:val="0"/>
                <w:sz w:val="20"/>
                <w:szCs w:val="20"/>
                <w:u w:val="none"/>
                <w:lang w:val="en-US" w:eastAsia="zh-CN"/>
              </w:rPr>
              <w:t>套</w:t>
            </w:r>
          </w:p>
        </w:tc>
        <w:tc>
          <w:tcPr>
            <w:tcW w:w="244" w:type="pct"/>
            <w:vAlign w:val="center"/>
          </w:tcPr>
          <w:p w14:paraId="03321C9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sz w:val="20"/>
                <w:szCs w:val="20"/>
              </w:rPr>
            </w:pPr>
            <w:r>
              <w:rPr>
                <w:rFonts w:hint="eastAsia" w:ascii="仿宋" w:hAnsi="仿宋" w:eastAsia="仿宋" w:cs="仿宋"/>
                <w:i w:val="0"/>
                <w:iCs w:val="0"/>
                <w:color w:val="000000"/>
                <w:kern w:val="0"/>
                <w:sz w:val="20"/>
                <w:szCs w:val="20"/>
                <w:u w:val="none"/>
                <w:lang w:val="en-US" w:eastAsia="zh-CN"/>
              </w:rPr>
              <w:t>1</w:t>
            </w:r>
          </w:p>
        </w:tc>
        <w:tc>
          <w:tcPr>
            <w:tcW w:w="409" w:type="pct"/>
            <w:vAlign w:val="center"/>
          </w:tcPr>
          <w:p w14:paraId="7C3568C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sz w:val="20"/>
                <w:szCs w:val="20"/>
                <w:highlight w:val="none"/>
                <w:lang w:eastAsia="zh-CN"/>
              </w:rPr>
            </w:pPr>
            <w:r>
              <w:rPr>
                <w:rFonts w:hint="eastAsia" w:ascii="仿宋" w:hAnsi="仿宋" w:eastAsia="仿宋" w:cs="仿宋"/>
                <w:i w:val="0"/>
                <w:iCs w:val="0"/>
                <w:color w:val="000000"/>
                <w:kern w:val="0"/>
                <w:sz w:val="20"/>
                <w:szCs w:val="20"/>
                <w:u w:val="none"/>
                <w:lang w:val="en-US" w:eastAsia="zh-CN"/>
              </w:rPr>
              <w:t>98</w:t>
            </w:r>
          </w:p>
        </w:tc>
        <w:tc>
          <w:tcPr>
            <w:tcW w:w="410" w:type="pct"/>
            <w:vAlign w:val="center"/>
          </w:tcPr>
          <w:p w14:paraId="18D3597A">
            <w:pPr>
              <w:keepNext w:val="0"/>
              <w:keepLines w:val="0"/>
              <w:widowControl/>
              <w:suppressLineNumbers w:val="0"/>
              <w:snapToGrid w:val="0"/>
              <w:ind w:left="0" w:leftChars="0" w:right="0" w:rightChars="0" w:firstLine="0" w:firstLineChars="0"/>
              <w:jc w:val="right"/>
              <w:textAlignment w:val="center"/>
              <w:rPr>
                <w:rFonts w:hint="eastAsia" w:ascii="仿宋" w:hAnsi="仿宋" w:eastAsia="仿宋" w:cs="仿宋"/>
                <w:b/>
                <w:bCs/>
                <w:sz w:val="20"/>
                <w:szCs w:val="20"/>
                <w:lang w:eastAsia="zh-CN"/>
              </w:rPr>
            </w:pPr>
            <w:r>
              <w:rPr>
                <w:rFonts w:hint="eastAsia" w:ascii="仿宋" w:hAnsi="仿宋" w:eastAsia="仿宋" w:cs="仿宋"/>
                <w:i w:val="0"/>
                <w:iCs w:val="0"/>
                <w:color w:val="000000"/>
                <w:kern w:val="0"/>
                <w:sz w:val="20"/>
                <w:szCs w:val="20"/>
                <w:u w:val="none"/>
                <w:lang w:val="en-US" w:eastAsia="zh-CN"/>
              </w:rPr>
              <w:t>98</w:t>
            </w:r>
          </w:p>
        </w:tc>
      </w:tr>
      <w:tr w14:paraId="6EBD6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1" w:hRule="atLeast"/>
        </w:trPr>
        <w:tc>
          <w:tcPr>
            <w:tcW w:w="244" w:type="pct"/>
            <w:vAlign w:val="center"/>
          </w:tcPr>
          <w:p w14:paraId="7F28F8AD">
            <w:pPr>
              <w:jc w:val="center"/>
              <w:rPr>
                <w:rFonts w:hint="default" w:ascii="仿宋" w:hAnsi="仿宋" w:eastAsia="仿宋" w:cs="仿宋"/>
                <w:sz w:val="20"/>
                <w:szCs w:val="20"/>
                <w:lang w:val="en-US" w:eastAsia="zh-CN"/>
              </w:rPr>
            </w:pPr>
            <w:r>
              <w:rPr>
                <w:rFonts w:hint="eastAsia" w:ascii="仿宋" w:hAnsi="仿宋" w:eastAsia="仿宋" w:cs="仿宋"/>
                <w:sz w:val="20"/>
                <w:szCs w:val="20"/>
                <w:lang w:val="en-US" w:eastAsia="zh-CN"/>
              </w:rPr>
              <w:t>3</w:t>
            </w:r>
          </w:p>
        </w:tc>
        <w:tc>
          <w:tcPr>
            <w:tcW w:w="244" w:type="pct"/>
            <w:vAlign w:val="center"/>
          </w:tcPr>
          <w:p w14:paraId="79B4371E">
            <w:pPr>
              <w:jc w:val="center"/>
              <w:rPr>
                <w:rFonts w:hint="eastAsia" w:ascii="仿宋" w:hAnsi="仿宋" w:eastAsia="仿宋" w:cs="仿宋"/>
                <w:sz w:val="20"/>
                <w:szCs w:val="20"/>
              </w:rPr>
            </w:pPr>
            <w:r>
              <w:rPr>
                <w:rFonts w:hint="eastAsia" w:ascii="仿宋" w:hAnsi="仿宋" w:eastAsia="仿宋" w:cs="仿宋"/>
                <w:sz w:val="20"/>
                <w:szCs w:val="20"/>
              </w:rPr>
              <w:t>水生生物定性定量</w:t>
            </w:r>
          </w:p>
        </w:tc>
        <w:tc>
          <w:tcPr>
            <w:tcW w:w="361" w:type="pct"/>
            <w:vAlign w:val="center"/>
          </w:tcPr>
          <w:p w14:paraId="2696D046">
            <w:pPr>
              <w:jc w:val="center"/>
              <w:rPr>
                <w:rFonts w:hint="eastAsia" w:ascii="仿宋" w:hAnsi="仿宋" w:eastAsia="仿宋" w:cs="仿宋"/>
                <w:sz w:val="20"/>
                <w:szCs w:val="20"/>
              </w:rPr>
            </w:pPr>
            <w:r>
              <w:rPr>
                <w:rFonts w:hint="eastAsia" w:ascii="仿宋" w:hAnsi="仿宋" w:eastAsia="仿宋" w:cs="仿宋"/>
                <w:sz w:val="20"/>
                <w:szCs w:val="20"/>
              </w:rPr>
              <w:t>体视显微镜</w:t>
            </w:r>
          </w:p>
        </w:tc>
        <w:tc>
          <w:tcPr>
            <w:tcW w:w="2838" w:type="pct"/>
            <w:vAlign w:val="center"/>
          </w:tcPr>
          <w:p w14:paraId="2F2948C7">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1.光学系统：整机采用复消色差光学系统，优化光路设计，实现高分辨率、高反差成像。</w:t>
            </w:r>
          </w:p>
          <w:p w14:paraId="276BD697">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★2.变倍系统：变倍比不低于12.5：1，支持连续变倍或卡位档位式变倍，具备内装式用于控制景深的双可变光阑。</w:t>
            </w:r>
          </w:p>
          <w:p w14:paraId="2531E613">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▲3.放大倍率：配置10×目镜、1.0×标准物镜条件下，系统最小放大倍率≤8倍，最大放大倍率≥100倍。</w:t>
            </w:r>
          </w:p>
          <w:p w14:paraId="12BB9845">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4.标准物镜：1.0×平场复消色差物镜。</w:t>
            </w:r>
          </w:p>
          <w:p w14:paraId="34A1B1D9">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5.标准工作距离：标配1.0×物镜(NA≥0.10)，工作距离≥60mm。</w:t>
            </w:r>
          </w:p>
          <w:p w14:paraId="5D6FF0C3">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▲6.目镜：倾角为30°的三目镜筒，可实现分光比50%/50%，10×高眼点宽视野目镜，视场数≥23mm。瞳距调节范围不低于55mm～75mm。</w:t>
            </w:r>
          </w:p>
          <w:p w14:paraId="6E1397D7">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7.照明系统：</w:t>
            </w:r>
          </w:p>
          <w:p w14:paraId="45FD728C">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7.1配备LED透射光照明装置光源，提供明场照明。亮度可连续调节，可通过内置滤色片滑板调节亮度和色温，配备落射光照明装置光源，平均寿命使用20000小时以上。</w:t>
            </w:r>
          </w:p>
          <w:p w14:paraId="6270EEF4">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default"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▲7.2有反差模式、暗场照明。</w:t>
            </w:r>
          </w:p>
          <w:p w14:paraId="6A565517">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8.数字成像：配套设备原厂彩色数码成像系统，≥1200万像素高清数码摄像头，支持图像采集、视频录制；配套软件具备采集图像并对图像进行编辑处理、曝光、增益、白平衡调节功能，支持标尺标注、测量功能。</w:t>
            </w:r>
          </w:p>
          <w:p w14:paraId="111523BC">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9.设备标准：整机电气安全、抗干扰符合行业国际标准，结构稳固，适合实验室长期连续运行。</w:t>
            </w:r>
          </w:p>
          <w:p w14:paraId="39EE67C4">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10.配套工作站：16G内存，2T硬盘，24寸显示器，其中1台配置高性能激光彩色打印机，可自动双面打印。</w:t>
            </w:r>
          </w:p>
          <w:p w14:paraId="007403BB">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sz w:val="20"/>
                <w:szCs w:val="20"/>
              </w:rPr>
            </w:pPr>
            <w:r>
              <w:rPr>
                <w:rFonts w:hint="eastAsia" w:ascii="仿宋" w:hAnsi="仿宋" w:eastAsia="仿宋" w:cs="仿宋"/>
                <w:i w:val="0"/>
                <w:iCs w:val="0"/>
                <w:color w:val="auto"/>
                <w:kern w:val="0"/>
                <w:sz w:val="20"/>
                <w:szCs w:val="20"/>
                <w:u w:val="none"/>
                <w:lang w:val="en-US" w:eastAsia="zh-CN"/>
              </w:rPr>
              <w:t>11.售后服务：整机质保≥3年；提供免费上门安装调试、人员培训；配备全国免费服务热线，3个工作日内现场响应，提供终身维护服务。</w:t>
            </w:r>
          </w:p>
        </w:tc>
        <w:tc>
          <w:tcPr>
            <w:tcW w:w="244" w:type="pct"/>
            <w:vAlign w:val="center"/>
          </w:tcPr>
          <w:p w14:paraId="11AA107F">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sz w:val="20"/>
                <w:szCs w:val="20"/>
              </w:rPr>
            </w:pPr>
            <w:r>
              <w:rPr>
                <w:rFonts w:hint="eastAsia" w:ascii="仿宋" w:hAnsi="仿宋" w:eastAsia="仿宋" w:cs="仿宋"/>
                <w:i w:val="0"/>
                <w:iCs w:val="0"/>
                <w:color w:val="auto"/>
                <w:kern w:val="0"/>
                <w:sz w:val="20"/>
                <w:szCs w:val="20"/>
                <w:u w:val="none"/>
                <w:lang w:val="en-US" w:eastAsia="zh-CN"/>
              </w:rPr>
              <w:t>台</w:t>
            </w:r>
          </w:p>
        </w:tc>
        <w:tc>
          <w:tcPr>
            <w:tcW w:w="244" w:type="pct"/>
            <w:vAlign w:val="center"/>
          </w:tcPr>
          <w:p w14:paraId="7D3BAD9D">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sz w:val="20"/>
                <w:szCs w:val="20"/>
              </w:rPr>
            </w:pPr>
            <w:r>
              <w:rPr>
                <w:rFonts w:hint="eastAsia" w:ascii="仿宋" w:hAnsi="仿宋" w:eastAsia="仿宋" w:cs="仿宋"/>
                <w:i w:val="0"/>
                <w:iCs w:val="0"/>
                <w:color w:val="auto"/>
                <w:kern w:val="0"/>
                <w:sz w:val="20"/>
                <w:szCs w:val="20"/>
                <w:u w:val="none"/>
                <w:lang w:val="en-US" w:eastAsia="zh-CN"/>
              </w:rPr>
              <w:t>3</w:t>
            </w:r>
          </w:p>
        </w:tc>
        <w:tc>
          <w:tcPr>
            <w:tcW w:w="409" w:type="pct"/>
            <w:vAlign w:val="center"/>
          </w:tcPr>
          <w:p w14:paraId="5AB2C219">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b/>
                <w:bCs/>
                <w:sz w:val="20"/>
                <w:szCs w:val="20"/>
                <w:highlight w:val="none"/>
                <w:lang w:eastAsia="zh-CN"/>
              </w:rPr>
            </w:pPr>
            <w:r>
              <w:rPr>
                <w:rFonts w:hint="eastAsia" w:ascii="仿宋" w:hAnsi="仿宋" w:eastAsia="仿宋" w:cs="仿宋"/>
                <w:i w:val="0"/>
                <w:iCs w:val="0"/>
                <w:color w:val="auto"/>
                <w:kern w:val="0"/>
                <w:sz w:val="20"/>
                <w:szCs w:val="20"/>
                <w:u w:val="none"/>
                <w:lang w:val="en-US" w:eastAsia="zh-CN"/>
              </w:rPr>
              <w:t>12.8</w:t>
            </w:r>
          </w:p>
        </w:tc>
        <w:tc>
          <w:tcPr>
            <w:tcW w:w="410" w:type="pct"/>
            <w:vAlign w:val="center"/>
          </w:tcPr>
          <w:p w14:paraId="0F9FB6D7">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b/>
                <w:bCs/>
                <w:sz w:val="20"/>
                <w:szCs w:val="20"/>
                <w:lang w:eastAsia="zh-CN"/>
              </w:rPr>
            </w:pPr>
            <w:r>
              <w:rPr>
                <w:rFonts w:hint="eastAsia" w:ascii="仿宋" w:hAnsi="仿宋" w:eastAsia="仿宋" w:cs="仿宋"/>
                <w:i w:val="0"/>
                <w:iCs w:val="0"/>
                <w:color w:val="auto"/>
                <w:kern w:val="0"/>
                <w:sz w:val="20"/>
                <w:szCs w:val="20"/>
                <w:u w:val="none"/>
                <w:lang w:val="en-US" w:eastAsia="zh-CN"/>
              </w:rPr>
              <w:t>38.4</w:t>
            </w:r>
          </w:p>
        </w:tc>
      </w:tr>
      <w:tr w14:paraId="4FA3A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1" w:hRule="atLeast"/>
        </w:trPr>
        <w:tc>
          <w:tcPr>
            <w:tcW w:w="244" w:type="pct"/>
            <w:vAlign w:val="center"/>
          </w:tcPr>
          <w:p w14:paraId="7C75602A">
            <w:pPr>
              <w:jc w:val="center"/>
              <w:rPr>
                <w:rFonts w:hint="default" w:ascii="仿宋" w:hAnsi="仿宋" w:eastAsia="仿宋" w:cs="仿宋"/>
                <w:sz w:val="20"/>
                <w:szCs w:val="20"/>
                <w:lang w:val="en-US" w:eastAsia="zh-CN"/>
              </w:rPr>
            </w:pPr>
            <w:r>
              <w:rPr>
                <w:rFonts w:hint="eastAsia" w:ascii="仿宋" w:hAnsi="仿宋" w:eastAsia="仿宋" w:cs="仿宋"/>
                <w:sz w:val="20"/>
                <w:szCs w:val="20"/>
                <w:lang w:val="en-US" w:eastAsia="zh-CN"/>
              </w:rPr>
              <w:t>4</w:t>
            </w:r>
          </w:p>
        </w:tc>
        <w:tc>
          <w:tcPr>
            <w:tcW w:w="244" w:type="pct"/>
            <w:vAlign w:val="center"/>
          </w:tcPr>
          <w:p w14:paraId="420DB7F2">
            <w:pPr>
              <w:jc w:val="center"/>
              <w:rPr>
                <w:rFonts w:hint="eastAsia" w:ascii="仿宋" w:hAnsi="仿宋" w:eastAsia="仿宋" w:cs="仿宋"/>
                <w:sz w:val="20"/>
                <w:szCs w:val="20"/>
              </w:rPr>
            </w:pPr>
            <w:r>
              <w:rPr>
                <w:rFonts w:hint="eastAsia" w:ascii="仿宋" w:hAnsi="仿宋" w:eastAsia="仿宋" w:cs="仿宋"/>
                <w:sz w:val="20"/>
                <w:szCs w:val="20"/>
              </w:rPr>
              <w:t>水生生物定性定量</w:t>
            </w:r>
          </w:p>
        </w:tc>
        <w:tc>
          <w:tcPr>
            <w:tcW w:w="361" w:type="pct"/>
            <w:vAlign w:val="center"/>
          </w:tcPr>
          <w:p w14:paraId="50AD812D">
            <w:pPr>
              <w:jc w:val="center"/>
              <w:rPr>
                <w:rFonts w:hint="eastAsia" w:ascii="仿宋" w:hAnsi="仿宋" w:eastAsia="仿宋" w:cs="仿宋"/>
                <w:sz w:val="20"/>
                <w:szCs w:val="20"/>
              </w:rPr>
            </w:pPr>
            <w:r>
              <w:rPr>
                <w:rFonts w:hint="eastAsia" w:ascii="仿宋" w:hAnsi="仿宋" w:eastAsia="仿宋" w:cs="仿宋"/>
                <w:sz w:val="20"/>
                <w:szCs w:val="20"/>
              </w:rPr>
              <w:t>普通正置生物显微镜</w:t>
            </w:r>
          </w:p>
        </w:tc>
        <w:tc>
          <w:tcPr>
            <w:tcW w:w="2838" w:type="pct"/>
            <w:vAlign w:val="center"/>
          </w:tcPr>
          <w:p w14:paraId="5D8E87FC">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1.工作环境：适配实验室常规环境，工作温度5℃-35℃，湿度20%-80%，220V/50Hz市电供电，运行稳定。</w:t>
            </w:r>
          </w:p>
          <w:p w14:paraId="390EE40C">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2.光学系统：采用无限远校正光学系统，物镜齐焦距离符合GB/T 22057.2-2008标准，名义齐焦距离45mm，成像高分辨率、高对比度。</w:t>
            </w:r>
          </w:p>
          <w:p w14:paraId="2201291A">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▲3.物镜配置：标配平场消色差整套物镜：</w:t>
            </w:r>
          </w:p>
          <w:p w14:paraId="3BF26422">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4×(NA≥0.10)、WD≥26.2mm</w:t>
            </w:r>
          </w:p>
          <w:p w14:paraId="1288D651">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10×(NA≥0.25)、WD≥7.8mm</w:t>
            </w:r>
          </w:p>
          <w:p w14:paraId="07AD6947">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20x(NA≥0.40)、WD≥0.92mm</w:t>
            </w:r>
          </w:p>
          <w:p w14:paraId="6539BD38">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40×(NA≥0.65)（带弹簧缓冲保护）、WD≥0.31mm</w:t>
            </w:r>
          </w:p>
          <w:p w14:paraId="730032FF">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100×(NA≥1.25)油镜（带弹簧缓冲保护）、WD≥0.1mm</w:t>
            </w:r>
          </w:p>
          <w:p w14:paraId="607451F6">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配备≥5孔位物镜转换器，切换精准、光路稳定。</w:t>
            </w:r>
          </w:p>
          <w:p w14:paraId="0AEC7173">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4.目镜系统：配置10倍高眼点目镜，视场数≥20mm，带屈光度校正；瞳距不低于52mm-75mm连续可调；配备三目观察筒，目镜带防脱落结构，镜筒可旋转，支持外接成像设备，可实现分光比50%/50%或20%/80%。聚光器数值孔径≥0.9，孔径光阑具备对应物镜倍率的刻度标记。</w:t>
            </w:r>
          </w:p>
          <w:p w14:paraId="53761F42">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5.机身结构：载物台行程范围≥7.6x2.6cm，自支撑圆角无外露齿条设计，安全防磕碰；左右手同轴手轮，自带一体式搬运握柄、电源线收纳结构。</w:t>
            </w:r>
          </w:p>
          <w:p w14:paraId="3E2B42FC">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6.调焦带扭矩调节，对焦平稳精准。调焦机构：粗/微调同轴调节，总调焦行程≥25mm，微调格值≤3um。</w:t>
            </w:r>
          </w:p>
          <w:p w14:paraId="0B689E62">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7.照明系统：透射LED光源，亮度连续可调、无频闪，使用寿命≥50000h，适配长期观测使用。标配明场观察，可拓展暗场、相差、荧光功能；配备适配干镜、油镜的多功能聚光镜。</w:t>
            </w:r>
          </w:p>
          <w:p w14:paraId="347E14D6">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▲8.成像系统：配备原厂数码成像系统，有效像素≥2000万；配套原厂成像软件，支持参数调节、拍照、录像、测量标注、多格式导出，兼容多系统。</w:t>
            </w:r>
          </w:p>
          <w:p w14:paraId="5C41404F">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highlight w:val="yellow"/>
                <w:u w:val="none"/>
                <w:lang w:val="en-US" w:eastAsia="zh-CN"/>
              </w:rPr>
            </w:pPr>
            <w:r>
              <w:rPr>
                <w:rFonts w:hint="eastAsia" w:ascii="仿宋" w:hAnsi="仿宋" w:eastAsia="仿宋" w:cs="仿宋"/>
                <w:i w:val="0"/>
                <w:iCs w:val="0"/>
                <w:color w:val="auto"/>
                <w:kern w:val="0"/>
                <w:sz w:val="20"/>
                <w:szCs w:val="20"/>
                <w:u w:val="none"/>
                <w:lang w:val="en-US" w:eastAsia="zh-CN"/>
              </w:rPr>
              <w:t>9.设备标准：</w:t>
            </w:r>
            <w:r>
              <w:rPr>
                <w:rFonts w:hint="eastAsia" w:ascii="仿宋" w:hAnsi="仿宋" w:eastAsia="仿宋" w:cs="仿宋"/>
                <w:i w:val="0"/>
                <w:iCs w:val="0"/>
                <w:color w:val="auto"/>
                <w:kern w:val="0"/>
                <w:sz w:val="20"/>
                <w:szCs w:val="20"/>
                <w:highlight w:val="none"/>
                <w:u w:val="none"/>
                <w:lang w:val="en-US" w:eastAsia="zh-CN"/>
              </w:rPr>
              <w:t>整机电气安全、抗干扰符合行业国际标准，结构稳固，适合实验室长期连续运行。</w:t>
            </w:r>
          </w:p>
          <w:p w14:paraId="7C084247">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highlight w:val="none"/>
                <w:u w:val="none"/>
                <w:lang w:val="en-US" w:eastAsia="zh-CN"/>
              </w:rPr>
              <w:t>10.配套工作站：16G内存，2T硬盘，24寸显示器，其</w:t>
            </w:r>
            <w:r>
              <w:rPr>
                <w:rFonts w:hint="eastAsia" w:ascii="仿宋" w:hAnsi="仿宋" w:eastAsia="仿宋" w:cs="仿宋"/>
                <w:i w:val="0"/>
                <w:iCs w:val="0"/>
                <w:color w:val="auto"/>
                <w:kern w:val="0"/>
                <w:sz w:val="20"/>
                <w:szCs w:val="20"/>
                <w:u w:val="none"/>
                <w:lang w:val="en-US" w:eastAsia="zh-CN"/>
              </w:rPr>
              <w:t>中1台配置高性能激光彩色打印机，可自动双面打印。</w:t>
            </w:r>
          </w:p>
          <w:p w14:paraId="28B3FF1D">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sz w:val="20"/>
                <w:szCs w:val="20"/>
              </w:rPr>
            </w:pPr>
            <w:r>
              <w:rPr>
                <w:rFonts w:hint="eastAsia" w:ascii="仿宋" w:hAnsi="仿宋" w:eastAsia="仿宋" w:cs="仿宋"/>
                <w:i w:val="0"/>
                <w:iCs w:val="0"/>
                <w:color w:val="auto"/>
                <w:kern w:val="0"/>
                <w:sz w:val="20"/>
                <w:szCs w:val="20"/>
                <w:u w:val="none"/>
                <w:lang w:val="en-US" w:eastAsia="zh-CN"/>
              </w:rPr>
              <w:t>11.售后服务：整机质保≥3年；提供免费上门安装调试、人员培训；配备全国免费服务热线，3个工作日内现场响应，提供终身维护服务。</w:t>
            </w:r>
          </w:p>
        </w:tc>
        <w:tc>
          <w:tcPr>
            <w:tcW w:w="244" w:type="pct"/>
            <w:vAlign w:val="center"/>
          </w:tcPr>
          <w:p w14:paraId="3052E73E">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sz w:val="20"/>
                <w:szCs w:val="20"/>
              </w:rPr>
            </w:pPr>
            <w:r>
              <w:rPr>
                <w:rFonts w:hint="eastAsia" w:ascii="仿宋" w:hAnsi="仿宋" w:eastAsia="仿宋" w:cs="仿宋"/>
                <w:i w:val="0"/>
                <w:iCs w:val="0"/>
                <w:color w:val="auto"/>
                <w:kern w:val="0"/>
                <w:sz w:val="20"/>
                <w:szCs w:val="20"/>
                <w:u w:val="none"/>
                <w:lang w:val="en-US" w:eastAsia="zh-CN"/>
              </w:rPr>
              <w:t>台</w:t>
            </w:r>
          </w:p>
        </w:tc>
        <w:tc>
          <w:tcPr>
            <w:tcW w:w="244" w:type="pct"/>
            <w:vAlign w:val="center"/>
          </w:tcPr>
          <w:p w14:paraId="1707FDBC">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sz w:val="20"/>
                <w:szCs w:val="20"/>
              </w:rPr>
            </w:pPr>
            <w:r>
              <w:rPr>
                <w:rFonts w:hint="eastAsia" w:ascii="仿宋" w:hAnsi="仿宋" w:eastAsia="仿宋" w:cs="仿宋"/>
                <w:i w:val="0"/>
                <w:iCs w:val="0"/>
                <w:color w:val="auto"/>
                <w:kern w:val="0"/>
                <w:sz w:val="20"/>
                <w:szCs w:val="20"/>
                <w:u w:val="none"/>
                <w:lang w:val="en-US" w:eastAsia="zh-CN"/>
              </w:rPr>
              <w:t>3</w:t>
            </w:r>
          </w:p>
        </w:tc>
        <w:tc>
          <w:tcPr>
            <w:tcW w:w="409" w:type="pct"/>
            <w:vAlign w:val="center"/>
          </w:tcPr>
          <w:p w14:paraId="52FEBDDE">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b/>
                <w:bCs/>
                <w:sz w:val="20"/>
                <w:szCs w:val="20"/>
                <w:highlight w:val="none"/>
                <w:lang w:eastAsia="zh-CN"/>
              </w:rPr>
            </w:pPr>
            <w:r>
              <w:rPr>
                <w:rFonts w:hint="eastAsia" w:ascii="仿宋" w:hAnsi="仿宋" w:eastAsia="仿宋" w:cs="仿宋"/>
                <w:i w:val="0"/>
                <w:iCs w:val="0"/>
                <w:color w:val="auto"/>
                <w:kern w:val="0"/>
                <w:sz w:val="20"/>
                <w:szCs w:val="20"/>
                <w:u w:val="none"/>
                <w:lang w:val="en-US" w:eastAsia="zh-CN"/>
              </w:rPr>
              <w:t>7</w:t>
            </w:r>
          </w:p>
        </w:tc>
        <w:tc>
          <w:tcPr>
            <w:tcW w:w="410" w:type="pct"/>
            <w:vAlign w:val="center"/>
          </w:tcPr>
          <w:p w14:paraId="09DCFBC7">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b/>
                <w:bCs/>
                <w:sz w:val="20"/>
                <w:szCs w:val="20"/>
                <w:lang w:eastAsia="zh-CN"/>
              </w:rPr>
            </w:pPr>
            <w:r>
              <w:rPr>
                <w:rFonts w:hint="eastAsia" w:ascii="仿宋" w:hAnsi="仿宋" w:eastAsia="仿宋" w:cs="仿宋"/>
                <w:i w:val="0"/>
                <w:iCs w:val="0"/>
                <w:color w:val="auto"/>
                <w:kern w:val="0"/>
                <w:sz w:val="20"/>
                <w:szCs w:val="20"/>
                <w:u w:val="none"/>
                <w:lang w:val="en-US" w:eastAsia="zh-CN"/>
              </w:rPr>
              <w:t>21</w:t>
            </w:r>
          </w:p>
        </w:tc>
      </w:tr>
    </w:tbl>
    <w:p w14:paraId="7CDAA535">
      <w:pPr>
        <w:rPr>
          <w:rFonts w:hint="eastAsia"/>
          <w:lang w:val="en-US" w:eastAsia="zh-CN"/>
        </w:rPr>
      </w:pPr>
      <w:r>
        <w:rPr>
          <w:rFonts w:hint="eastAsia"/>
          <w:lang w:val="en-US" w:eastAsia="zh-CN"/>
        </w:rPr>
        <w:br w:type="page"/>
      </w:r>
    </w:p>
    <w:p w14:paraId="6EEFD9CA">
      <w:pPr>
        <w:rPr>
          <w:rFonts w:hint="eastAsia"/>
          <w:lang w:val="en-US" w:eastAsia="zh-CN"/>
        </w:rPr>
      </w:pPr>
      <w:r>
        <w:rPr>
          <w:rFonts w:hint="eastAsia"/>
          <w:lang w:val="en-US" w:eastAsia="zh-CN"/>
        </w:rPr>
        <w:t>二标段：</w:t>
      </w:r>
    </w:p>
    <w:tbl>
      <w:tblPr>
        <w:tblStyle w:val="3"/>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7"/>
        <w:gridCol w:w="417"/>
        <w:gridCol w:w="618"/>
        <w:gridCol w:w="4795"/>
        <w:gridCol w:w="417"/>
        <w:gridCol w:w="417"/>
        <w:gridCol w:w="716"/>
        <w:gridCol w:w="716"/>
      </w:tblGrid>
      <w:tr w14:paraId="3C057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244" w:type="pct"/>
            <w:vMerge w:val="restart"/>
            <w:vAlign w:val="center"/>
          </w:tcPr>
          <w:p w14:paraId="19DD3955">
            <w:pPr>
              <w:jc w:val="center"/>
              <w:rPr>
                <w:rFonts w:hint="eastAsia" w:ascii="仿宋" w:hAnsi="仿宋" w:eastAsia="仿宋" w:cs="仿宋"/>
                <w:b/>
                <w:bCs/>
                <w:sz w:val="20"/>
                <w:szCs w:val="20"/>
              </w:rPr>
            </w:pPr>
            <w:r>
              <w:rPr>
                <w:rFonts w:hint="eastAsia" w:ascii="仿宋" w:hAnsi="仿宋" w:eastAsia="仿宋" w:cs="仿宋"/>
                <w:b/>
                <w:bCs/>
                <w:sz w:val="20"/>
                <w:szCs w:val="20"/>
              </w:rPr>
              <w:t>序号</w:t>
            </w:r>
          </w:p>
        </w:tc>
        <w:tc>
          <w:tcPr>
            <w:tcW w:w="244" w:type="pct"/>
            <w:vMerge w:val="restart"/>
            <w:vAlign w:val="center"/>
          </w:tcPr>
          <w:p w14:paraId="36BB8DB3">
            <w:pPr>
              <w:jc w:val="center"/>
              <w:rPr>
                <w:rFonts w:hint="eastAsia" w:ascii="仿宋" w:hAnsi="仿宋" w:eastAsia="仿宋" w:cs="仿宋"/>
                <w:b/>
                <w:bCs/>
                <w:sz w:val="20"/>
                <w:szCs w:val="20"/>
                <w:lang w:eastAsia="zh-CN"/>
              </w:rPr>
            </w:pPr>
            <w:r>
              <w:rPr>
                <w:rFonts w:hint="eastAsia" w:ascii="仿宋" w:hAnsi="仿宋" w:eastAsia="仿宋" w:cs="仿宋"/>
                <w:b/>
                <w:bCs/>
                <w:sz w:val="20"/>
                <w:szCs w:val="20"/>
                <w:lang w:eastAsia="zh-CN"/>
              </w:rPr>
              <w:t>名称</w:t>
            </w:r>
          </w:p>
        </w:tc>
        <w:tc>
          <w:tcPr>
            <w:tcW w:w="332" w:type="pct"/>
            <w:vMerge w:val="restart"/>
            <w:vAlign w:val="center"/>
          </w:tcPr>
          <w:p w14:paraId="1A65DA22">
            <w:pPr>
              <w:jc w:val="center"/>
              <w:rPr>
                <w:rFonts w:hint="eastAsia" w:ascii="仿宋" w:hAnsi="仿宋" w:eastAsia="仿宋" w:cs="仿宋"/>
                <w:b/>
                <w:bCs/>
                <w:sz w:val="20"/>
                <w:szCs w:val="20"/>
                <w:lang w:eastAsia="zh-CN"/>
              </w:rPr>
            </w:pPr>
            <w:r>
              <w:rPr>
                <w:rFonts w:hint="eastAsia" w:ascii="仿宋" w:hAnsi="仿宋" w:eastAsia="仿宋" w:cs="仿宋"/>
                <w:b/>
                <w:bCs/>
                <w:sz w:val="20"/>
                <w:szCs w:val="20"/>
                <w:lang w:eastAsia="zh-CN"/>
              </w:rPr>
              <w:t>功能</w:t>
            </w:r>
          </w:p>
        </w:tc>
        <w:tc>
          <w:tcPr>
            <w:tcW w:w="2846" w:type="pct"/>
            <w:vMerge w:val="restart"/>
            <w:vAlign w:val="center"/>
          </w:tcPr>
          <w:p w14:paraId="59D059E0">
            <w:pPr>
              <w:jc w:val="center"/>
              <w:rPr>
                <w:rFonts w:hint="eastAsia" w:ascii="仿宋" w:hAnsi="仿宋" w:eastAsia="仿宋" w:cs="仿宋"/>
                <w:b/>
                <w:bCs/>
                <w:sz w:val="20"/>
                <w:szCs w:val="20"/>
              </w:rPr>
            </w:pPr>
            <w:r>
              <w:rPr>
                <w:rFonts w:hint="eastAsia" w:ascii="仿宋" w:hAnsi="仿宋" w:eastAsia="仿宋" w:cs="仿宋"/>
                <w:b/>
                <w:bCs/>
                <w:sz w:val="20"/>
                <w:szCs w:val="20"/>
              </w:rPr>
              <w:t>规格参数</w:t>
            </w:r>
          </w:p>
        </w:tc>
        <w:tc>
          <w:tcPr>
            <w:tcW w:w="244" w:type="pct"/>
            <w:vMerge w:val="restart"/>
            <w:vAlign w:val="center"/>
          </w:tcPr>
          <w:p w14:paraId="204453FC">
            <w:pPr>
              <w:jc w:val="center"/>
              <w:rPr>
                <w:rFonts w:hint="eastAsia" w:ascii="仿宋" w:hAnsi="仿宋" w:eastAsia="仿宋" w:cs="仿宋"/>
                <w:b/>
                <w:bCs/>
                <w:sz w:val="20"/>
                <w:szCs w:val="20"/>
              </w:rPr>
            </w:pPr>
            <w:r>
              <w:rPr>
                <w:rFonts w:hint="eastAsia" w:ascii="仿宋" w:hAnsi="仿宋" w:eastAsia="仿宋" w:cs="仿宋"/>
                <w:b/>
                <w:bCs/>
                <w:sz w:val="20"/>
                <w:szCs w:val="20"/>
              </w:rPr>
              <w:t>单位</w:t>
            </w:r>
          </w:p>
        </w:tc>
        <w:tc>
          <w:tcPr>
            <w:tcW w:w="244" w:type="pct"/>
            <w:vMerge w:val="restart"/>
            <w:vAlign w:val="center"/>
          </w:tcPr>
          <w:p w14:paraId="64EB2405">
            <w:pPr>
              <w:jc w:val="center"/>
              <w:rPr>
                <w:rFonts w:hint="eastAsia" w:ascii="仿宋" w:hAnsi="仿宋" w:eastAsia="仿宋" w:cs="仿宋"/>
                <w:b/>
                <w:bCs/>
                <w:sz w:val="20"/>
                <w:szCs w:val="20"/>
              </w:rPr>
            </w:pPr>
            <w:r>
              <w:rPr>
                <w:rFonts w:hint="eastAsia" w:ascii="仿宋" w:hAnsi="仿宋" w:eastAsia="仿宋" w:cs="仿宋"/>
                <w:b/>
                <w:bCs/>
                <w:sz w:val="20"/>
                <w:szCs w:val="20"/>
              </w:rPr>
              <w:t>数量</w:t>
            </w:r>
          </w:p>
        </w:tc>
        <w:tc>
          <w:tcPr>
            <w:tcW w:w="420" w:type="pct"/>
            <w:vAlign w:val="center"/>
          </w:tcPr>
          <w:p w14:paraId="30DAFAED">
            <w:pPr>
              <w:jc w:val="center"/>
              <w:rPr>
                <w:rFonts w:hint="eastAsia" w:ascii="仿宋" w:hAnsi="仿宋" w:eastAsia="仿宋" w:cs="仿宋"/>
                <w:b/>
                <w:bCs/>
                <w:sz w:val="20"/>
                <w:szCs w:val="20"/>
                <w:highlight w:val="none"/>
              </w:rPr>
            </w:pPr>
            <w:r>
              <w:rPr>
                <w:rFonts w:hint="eastAsia" w:ascii="仿宋" w:hAnsi="仿宋" w:eastAsia="仿宋" w:cs="仿宋"/>
                <w:b/>
                <w:bCs/>
                <w:sz w:val="20"/>
                <w:szCs w:val="20"/>
                <w:highlight w:val="none"/>
                <w:lang w:val="en-US" w:eastAsia="zh-CN"/>
              </w:rPr>
              <w:t>最高限</w:t>
            </w:r>
            <w:r>
              <w:rPr>
                <w:rFonts w:hint="eastAsia" w:ascii="仿宋" w:hAnsi="仿宋" w:eastAsia="仿宋" w:cs="仿宋"/>
                <w:b/>
                <w:bCs/>
                <w:sz w:val="20"/>
                <w:szCs w:val="20"/>
                <w:highlight w:val="none"/>
              </w:rPr>
              <w:t>价</w:t>
            </w:r>
          </w:p>
        </w:tc>
        <w:tc>
          <w:tcPr>
            <w:tcW w:w="420" w:type="pct"/>
            <w:vAlign w:val="center"/>
          </w:tcPr>
          <w:p w14:paraId="45D4AC80">
            <w:pPr>
              <w:jc w:val="center"/>
              <w:rPr>
                <w:rFonts w:hint="eastAsia" w:ascii="仿宋" w:hAnsi="仿宋" w:eastAsia="仿宋" w:cs="仿宋"/>
                <w:b/>
                <w:bCs/>
                <w:sz w:val="20"/>
                <w:szCs w:val="20"/>
              </w:rPr>
            </w:pPr>
            <w:r>
              <w:rPr>
                <w:rFonts w:hint="eastAsia" w:ascii="仿宋" w:hAnsi="仿宋" w:eastAsia="仿宋" w:cs="仿宋"/>
                <w:b/>
                <w:bCs/>
                <w:sz w:val="20"/>
                <w:szCs w:val="20"/>
              </w:rPr>
              <w:t>合计</w:t>
            </w:r>
          </w:p>
        </w:tc>
      </w:tr>
      <w:tr w14:paraId="3B08D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244" w:type="pct"/>
            <w:vMerge w:val="continue"/>
            <w:vAlign w:val="center"/>
          </w:tcPr>
          <w:p w14:paraId="63B9E593">
            <w:pPr>
              <w:jc w:val="center"/>
              <w:rPr>
                <w:rFonts w:hint="eastAsia" w:ascii="仿宋" w:hAnsi="仿宋" w:eastAsia="仿宋" w:cs="仿宋"/>
                <w:sz w:val="20"/>
                <w:szCs w:val="20"/>
              </w:rPr>
            </w:pPr>
          </w:p>
        </w:tc>
        <w:tc>
          <w:tcPr>
            <w:tcW w:w="244" w:type="pct"/>
            <w:vMerge w:val="continue"/>
            <w:vAlign w:val="center"/>
          </w:tcPr>
          <w:p w14:paraId="4A5D6DFE">
            <w:pPr>
              <w:jc w:val="center"/>
              <w:rPr>
                <w:rFonts w:hint="eastAsia" w:ascii="仿宋" w:hAnsi="仿宋" w:eastAsia="仿宋" w:cs="仿宋"/>
                <w:sz w:val="20"/>
                <w:szCs w:val="20"/>
              </w:rPr>
            </w:pPr>
          </w:p>
        </w:tc>
        <w:tc>
          <w:tcPr>
            <w:tcW w:w="332" w:type="pct"/>
            <w:vMerge w:val="continue"/>
            <w:vAlign w:val="center"/>
          </w:tcPr>
          <w:p w14:paraId="029FAA17">
            <w:pPr>
              <w:jc w:val="center"/>
              <w:rPr>
                <w:rFonts w:hint="eastAsia" w:ascii="仿宋" w:hAnsi="仿宋" w:eastAsia="仿宋" w:cs="仿宋"/>
                <w:sz w:val="20"/>
                <w:szCs w:val="20"/>
              </w:rPr>
            </w:pPr>
          </w:p>
        </w:tc>
        <w:tc>
          <w:tcPr>
            <w:tcW w:w="2846" w:type="pct"/>
            <w:vMerge w:val="continue"/>
            <w:vAlign w:val="center"/>
          </w:tcPr>
          <w:p w14:paraId="44B815A2">
            <w:pPr>
              <w:jc w:val="left"/>
              <w:rPr>
                <w:rFonts w:hint="eastAsia" w:ascii="仿宋" w:hAnsi="仿宋" w:eastAsia="仿宋" w:cs="仿宋"/>
                <w:sz w:val="20"/>
                <w:szCs w:val="20"/>
              </w:rPr>
            </w:pPr>
          </w:p>
        </w:tc>
        <w:tc>
          <w:tcPr>
            <w:tcW w:w="244" w:type="pct"/>
            <w:vMerge w:val="continue"/>
            <w:vAlign w:val="center"/>
          </w:tcPr>
          <w:p w14:paraId="2878AEA5">
            <w:pPr>
              <w:jc w:val="center"/>
              <w:rPr>
                <w:rFonts w:hint="eastAsia" w:ascii="仿宋" w:hAnsi="仿宋" w:eastAsia="仿宋" w:cs="仿宋"/>
                <w:sz w:val="20"/>
                <w:szCs w:val="20"/>
              </w:rPr>
            </w:pPr>
          </w:p>
        </w:tc>
        <w:tc>
          <w:tcPr>
            <w:tcW w:w="244" w:type="pct"/>
            <w:vMerge w:val="continue"/>
            <w:vAlign w:val="center"/>
          </w:tcPr>
          <w:p w14:paraId="1F2D8A0E">
            <w:pPr>
              <w:jc w:val="center"/>
              <w:rPr>
                <w:rFonts w:hint="eastAsia" w:ascii="仿宋" w:hAnsi="仿宋" w:eastAsia="仿宋" w:cs="仿宋"/>
                <w:sz w:val="20"/>
                <w:szCs w:val="20"/>
              </w:rPr>
            </w:pPr>
          </w:p>
        </w:tc>
        <w:tc>
          <w:tcPr>
            <w:tcW w:w="420" w:type="pct"/>
            <w:vAlign w:val="center"/>
          </w:tcPr>
          <w:p w14:paraId="54E6E6BB">
            <w:pPr>
              <w:jc w:val="center"/>
              <w:rPr>
                <w:rFonts w:hint="eastAsia" w:ascii="仿宋" w:hAnsi="仿宋" w:eastAsia="仿宋" w:cs="仿宋"/>
                <w:b/>
                <w:bCs/>
                <w:sz w:val="20"/>
                <w:szCs w:val="20"/>
                <w:highlight w:val="none"/>
              </w:rPr>
            </w:pPr>
            <w:r>
              <w:rPr>
                <w:rFonts w:hint="eastAsia" w:ascii="仿宋" w:hAnsi="仿宋" w:eastAsia="仿宋" w:cs="仿宋"/>
                <w:b/>
                <w:bCs/>
                <w:sz w:val="20"/>
                <w:szCs w:val="20"/>
                <w:highlight w:val="none"/>
                <w:lang w:eastAsia="zh-CN"/>
              </w:rPr>
              <w:t>（</w:t>
            </w:r>
            <w:r>
              <w:rPr>
                <w:rFonts w:hint="eastAsia" w:ascii="仿宋" w:hAnsi="仿宋" w:eastAsia="仿宋" w:cs="仿宋"/>
                <w:b/>
                <w:bCs/>
                <w:sz w:val="20"/>
                <w:szCs w:val="20"/>
                <w:highlight w:val="none"/>
              </w:rPr>
              <w:t>万元）</w:t>
            </w:r>
          </w:p>
        </w:tc>
        <w:tc>
          <w:tcPr>
            <w:tcW w:w="420" w:type="pct"/>
            <w:vAlign w:val="center"/>
          </w:tcPr>
          <w:p w14:paraId="40F23B22">
            <w:pPr>
              <w:jc w:val="center"/>
              <w:rPr>
                <w:rFonts w:hint="eastAsia" w:ascii="仿宋" w:hAnsi="仿宋" w:eastAsia="仿宋" w:cs="仿宋"/>
                <w:b/>
                <w:bCs/>
                <w:sz w:val="20"/>
                <w:szCs w:val="20"/>
              </w:rPr>
            </w:pPr>
            <w:r>
              <w:rPr>
                <w:rFonts w:hint="eastAsia" w:ascii="仿宋" w:hAnsi="仿宋" w:eastAsia="仿宋" w:cs="仿宋"/>
                <w:b/>
                <w:bCs/>
                <w:sz w:val="20"/>
                <w:szCs w:val="20"/>
                <w:lang w:eastAsia="zh-CN"/>
              </w:rPr>
              <w:t>（</w:t>
            </w:r>
            <w:r>
              <w:rPr>
                <w:rFonts w:hint="eastAsia" w:ascii="仿宋" w:hAnsi="仿宋" w:eastAsia="仿宋" w:cs="仿宋"/>
                <w:b/>
                <w:bCs/>
                <w:sz w:val="20"/>
                <w:szCs w:val="20"/>
              </w:rPr>
              <w:t>万元）</w:t>
            </w:r>
          </w:p>
        </w:tc>
      </w:tr>
      <w:tr w14:paraId="30724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244" w:type="pct"/>
            <w:vAlign w:val="center"/>
          </w:tcPr>
          <w:p w14:paraId="17B6C560">
            <w:pPr>
              <w:jc w:val="center"/>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1</w:t>
            </w:r>
          </w:p>
        </w:tc>
        <w:tc>
          <w:tcPr>
            <w:tcW w:w="244" w:type="pct"/>
            <w:vAlign w:val="center"/>
          </w:tcPr>
          <w:p w14:paraId="4D4DEBBE">
            <w:pPr>
              <w:jc w:val="center"/>
              <w:rPr>
                <w:rFonts w:hint="eastAsia" w:ascii="仿宋" w:hAnsi="仿宋" w:eastAsia="仿宋" w:cs="仿宋"/>
                <w:sz w:val="20"/>
                <w:szCs w:val="20"/>
              </w:rPr>
            </w:pPr>
            <w:r>
              <w:rPr>
                <w:rFonts w:hint="eastAsia" w:ascii="仿宋" w:hAnsi="仿宋" w:eastAsia="仿宋" w:cs="仿宋"/>
                <w:sz w:val="20"/>
                <w:szCs w:val="20"/>
              </w:rPr>
              <w:t>现场采样设备</w:t>
            </w:r>
          </w:p>
        </w:tc>
        <w:tc>
          <w:tcPr>
            <w:tcW w:w="567" w:type="dxa"/>
            <w:vAlign w:val="center"/>
          </w:tcPr>
          <w:p w14:paraId="3EABCCBD">
            <w:pPr>
              <w:jc w:val="center"/>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彼得逊采泥器</w:t>
            </w:r>
          </w:p>
        </w:tc>
        <w:tc>
          <w:tcPr>
            <w:tcW w:w="4850" w:type="dxa"/>
            <w:vAlign w:val="center"/>
          </w:tcPr>
          <w:p w14:paraId="4ADE11F4">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sz w:val="20"/>
                <w:szCs w:val="20"/>
              </w:rPr>
            </w:pPr>
            <w:r>
              <w:rPr>
                <w:rFonts w:hint="eastAsia" w:ascii="仿宋" w:hAnsi="仿宋" w:eastAsia="仿宋" w:cs="仿宋"/>
                <w:i w:val="0"/>
                <w:iCs w:val="0"/>
                <w:color w:val="auto"/>
                <w:kern w:val="0"/>
                <w:sz w:val="20"/>
                <w:szCs w:val="20"/>
                <w:u w:val="none"/>
                <w:lang w:val="en-US" w:eastAsia="zh-CN"/>
              </w:rPr>
              <w:t>抓斗式底泥采样器，304不锈钢材质，防腐耐用；机械式自动闭合结构，触底闭合不跑样；适配河流、湖泊、水库底泥及底栖生物野外采样，适配常规水深作业。采样面积‌1/16m²，带配套绳索。</w:t>
            </w:r>
          </w:p>
        </w:tc>
        <w:tc>
          <w:tcPr>
            <w:tcW w:w="417" w:type="dxa"/>
            <w:vAlign w:val="center"/>
          </w:tcPr>
          <w:p w14:paraId="2C59622A">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仿宋" w:hAnsi="仿宋" w:eastAsia="仿宋" w:cs="仿宋"/>
                <w:sz w:val="20"/>
                <w:szCs w:val="20"/>
              </w:rPr>
            </w:pPr>
            <w:r>
              <w:rPr>
                <w:rFonts w:hint="eastAsia" w:ascii="仿宋" w:hAnsi="仿宋" w:eastAsia="仿宋" w:cs="仿宋"/>
                <w:i w:val="0"/>
                <w:iCs w:val="0"/>
                <w:color w:val="auto"/>
                <w:kern w:val="0"/>
                <w:sz w:val="20"/>
                <w:szCs w:val="20"/>
                <w:u w:val="none"/>
                <w:lang w:val="en-US" w:eastAsia="zh-CN"/>
              </w:rPr>
              <w:t>套</w:t>
            </w:r>
          </w:p>
        </w:tc>
        <w:tc>
          <w:tcPr>
            <w:tcW w:w="417" w:type="dxa"/>
            <w:vAlign w:val="center"/>
          </w:tcPr>
          <w:p w14:paraId="3704789E">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仿宋" w:hAnsi="仿宋" w:eastAsia="仿宋" w:cs="仿宋"/>
                <w:sz w:val="20"/>
                <w:szCs w:val="20"/>
              </w:rPr>
            </w:pPr>
            <w:r>
              <w:rPr>
                <w:rFonts w:hint="eastAsia" w:ascii="仿宋" w:hAnsi="仿宋" w:eastAsia="仿宋" w:cs="仿宋"/>
                <w:i w:val="0"/>
                <w:iCs w:val="0"/>
                <w:color w:val="auto"/>
                <w:kern w:val="0"/>
                <w:sz w:val="20"/>
                <w:szCs w:val="20"/>
                <w:u w:val="none"/>
                <w:lang w:val="en-US" w:eastAsia="zh-CN"/>
              </w:rPr>
              <w:t>2</w:t>
            </w:r>
          </w:p>
        </w:tc>
        <w:tc>
          <w:tcPr>
            <w:tcW w:w="715" w:type="dxa"/>
            <w:vAlign w:val="center"/>
          </w:tcPr>
          <w:p w14:paraId="62CE1F80">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b/>
                <w:bCs/>
                <w:sz w:val="20"/>
                <w:szCs w:val="20"/>
                <w:highlight w:val="none"/>
                <w:lang w:eastAsia="zh-CN"/>
              </w:rPr>
            </w:pPr>
            <w:r>
              <w:rPr>
                <w:rFonts w:hint="eastAsia" w:ascii="仿宋" w:hAnsi="仿宋" w:eastAsia="仿宋" w:cs="仿宋"/>
                <w:i w:val="0"/>
                <w:iCs w:val="0"/>
                <w:color w:val="000000"/>
                <w:kern w:val="0"/>
                <w:sz w:val="20"/>
                <w:szCs w:val="20"/>
                <w:highlight w:val="none"/>
                <w:u w:val="none"/>
                <w:lang w:val="en-US" w:eastAsia="zh-CN"/>
              </w:rPr>
              <w:t>0.5</w:t>
            </w:r>
          </w:p>
        </w:tc>
        <w:tc>
          <w:tcPr>
            <w:tcW w:w="715" w:type="dxa"/>
            <w:vAlign w:val="center"/>
          </w:tcPr>
          <w:p w14:paraId="4C8B4140">
            <w:pPr>
              <w:keepNext w:val="0"/>
              <w:keepLines w:val="0"/>
              <w:widowControl/>
              <w:suppressLineNumbers w:val="0"/>
              <w:snapToGrid w:val="0"/>
              <w:ind w:left="0" w:leftChars="0" w:right="0" w:rightChars="0" w:firstLine="0" w:firstLineChars="0"/>
              <w:jc w:val="right"/>
              <w:textAlignment w:val="center"/>
              <w:rPr>
                <w:rFonts w:hint="eastAsia" w:ascii="仿宋" w:hAnsi="仿宋" w:eastAsia="仿宋" w:cs="仿宋"/>
                <w:b/>
                <w:bCs/>
                <w:sz w:val="20"/>
                <w:szCs w:val="20"/>
                <w:lang w:eastAsia="zh-CN"/>
              </w:rPr>
            </w:pPr>
            <w:r>
              <w:rPr>
                <w:rFonts w:hint="eastAsia" w:ascii="仿宋" w:hAnsi="仿宋" w:eastAsia="仿宋" w:cs="仿宋"/>
                <w:i w:val="0"/>
                <w:iCs w:val="0"/>
                <w:color w:val="000000"/>
                <w:kern w:val="0"/>
                <w:sz w:val="20"/>
                <w:szCs w:val="20"/>
                <w:u w:val="none"/>
                <w:lang w:val="en-US" w:eastAsia="zh-CN"/>
              </w:rPr>
              <w:t>1</w:t>
            </w:r>
          </w:p>
        </w:tc>
      </w:tr>
      <w:tr w14:paraId="0CEAA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244" w:type="pct"/>
            <w:vAlign w:val="center"/>
          </w:tcPr>
          <w:p w14:paraId="35D79EC3">
            <w:pPr>
              <w:jc w:val="center"/>
              <w:rPr>
                <w:rFonts w:hint="default" w:ascii="仿宋" w:hAnsi="仿宋" w:eastAsia="仿宋" w:cs="仿宋"/>
                <w:sz w:val="20"/>
                <w:szCs w:val="20"/>
                <w:lang w:val="en-US" w:eastAsia="zh-CN"/>
              </w:rPr>
            </w:pPr>
            <w:r>
              <w:rPr>
                <w:rFonts w:hint="eastAsia" w:ascii="仿宋" w:hAnsi="仿宋" w:eastAsia="仿宋" w:cs="仿宋"/>
                <w:sz w:val="20"/>
                <w:szCs w:val="20"/>
                <w:lang w:val="en-US" w:eastAsia="zh-CN"/>
              </w:rPr>
              <w:t>2</w:t>
            </w:r>
          </w:p>
        </w:tc>
        <w:tc>
          <w:tcPr>
            <w:tcW w:w="417" w:type="dxa"/>
            <w:vAlign w:val="center"/>
          </w:tcPr>
          <w:p w14:paraId="7F795963">
            <w:pPr>
              <w:jc w:val="center"/>
              <w:rPr>
                <w:rFonts w:hint="eastAsia" w:ascii="仿宋" w:hAnsi="仿宋" w:eastAsia="仿宋" w:cs="仿宋"/>
                <w:sz w:val="20"/>
                <w:szCs w:val="20"/>
              </w:rPr>
            </w:pPr>
            <w:r>
              <w:rPr>
                <w:rFonts w:hint="eastAsia" w:ascii="仿宋" w:hAnsi="仿宋" w:eastAsia="仿宋" w:cs="仿宋"/>
                <w:sz w:val="20"/>
                <w:szCs w:val="20"/>
                <w:lang w:val="en-US" w:eastAsia="zh-CN"/>
              </w:rPr>
              <w:t>现场采样设备</w:t>
            </w:r>
          </w:p>
        </w:tc>
        <w:tc>
          <w:tcPr>
            <w:tcW w:w="567" w:type="dxa"/>
            <w:vAlign w:val="center"/>
          </w:tcPr>
          <w:p w14:paraId="13D4B4A6">
            <w:pPr>
              <w:jc w:val="center"/>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水生生物耗材</w:t>
            </w:r>
          </w:p>
        </w:tc>
        <w:tc>
          <w:tcPr>
            <w:tcW w:w="4850" w:type="dxa"/>
            <w:vAlign w:val="center"/>
          </w:tcPr>
          <w:p w14:paraId="67CB1757">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1.13号浮游生物网1个：标准水生生物采样网，网体致密均匀，耐腐蚀、耐拉扯，适配水体浮游生物样品采集，适配野外水环境监测作业。</w:t>
            </w:r>
          </w:p>
          <w:p w14:paraId="1DC269D5">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2.25号浮游生物网1个：常规浮游生物采样专用网具，网孔规整、透水性好，材质坚固耐磨，适用于各类水体微型浮游生物采集作业。</w:t>
            </w:r>
          </w:p>
          <w:p w14:paraId="29029D8E">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3.索伯网（30cm×30cm）3个：标准底栖生物采样网，网框规整牢固，网体抗磨损、抗腐蚀，适配河道、湖泊底栖生物样品采集。</w:t>
            </w:r>
          </w:p>
          <w:p w14:paraId="61AC7F7E">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4.手抄网（30cm×30cm）3个：采用可拆卸伸缩杆设计，拆装便捷、收纳小巧；一体式坚固网框，柔性耐磨网体，操作轻便，适用于浅水水域水生生物快速捞取采样。</w:t>
            </w:r>
          </w:p>
          <w:p w14:paraId="14B93BFA">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5.三角拖网1个：标准化水生生物拖采网具，结构稳固、拖拽顺畅，耐水体冲刷，适配深水及大范围水域水生生物拖网采样作业。</w:t>
            </w:r>
          </w:p>
          <w:p w14:paraId="295B1E0A">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6.40目筛网（40cm）1个：筛孔均匀规整，材质防腐防锈、坚固耐用，用于水体样品、底泥样品筛分过滤，适配野外实验筛分作业。</w:t>
            </w:r>
          </w:p>
          <w:p w14:paraId="65B8E9F1">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7.40目筛网（60cm）1个：大尺寸精密筛分网，筛目标准、受力均匀，耐磨抗造，满足大批量水生生物、底泥样品筛分处理需求。</w:t>
            </w:r>
          </w:p>
          <w:p w14:paraId="1D0D774B">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8.工兵铲1个：多功能便携工兵铲，材质坚硬、防锈耐腐蚀，可折叠便携，适配野外采样场地清理、底泥辅助取样作业。</w:t>
            </w:r>
          </w:p>
          <w:p w14:paraId="7DE4E06E">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9. 便携折叠桌椅1套：轻量化折叠设计，承重稳定、收纳便捷，防水耐候，适配野外水生采样现场记录、样品分拣操作。</w:t>
            </w:r>
          </w:p>
          <w:p w14:paraId="0F1BDD72">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sz w:val="20"/>
                <w:szCs w:val="20"/>
              </w:rPr>
            </w:pPr>
            <w:r>
              <w:rPr>
                <w:rFonts w:hint="eastAsia" w:ascii="仿宋" w:hAnsi="仿宋" w:eastAsia="仿宋" w:cs="仿宋"/>
                <w:i w:val="0"/>
                <w:iCs w:val="0"/>
                <w:color w:val="auto"/>
                <w:kern w:val="0"/>
                <w:sz w:val="20"/>
                <w:szCs w:val="20"/>
                <w:u w:val="none"/>
                <w:lang w:val="en-US" w:eastAsia="zh-CN"/>
              </w:rPr>
              <w:t>10.整体要求：所有采样网具、筛网孔径标准、做工规整，耐腐蚀、抗拉扯，适配户外复杂水环境长期采样使用；全套耗材满足常规水生生物野外监测、采样实验标准。</w:t>
            </w:r>
          </w:p>
        </w:tc>
        <w:tc>
          <w:tcPr>
            <w:tcW w:w="417" w:type="dxa"/>
            <w:vAlign w:val="center"/>
          </w:tcPr>
          <w:p w14:paraId="57F6293A">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仿宋" w:hAnsi="仿宋" w:eastAsia="仿宋" w:cs="仿宋"/>
                <w:sz w:val="20"/>
                <w:szCs w:val="20"/>
              </w:rPr>
            </w:pPr>
            <w:r>
              <w:rPr>
                <w:rFonts w:hint="eastAsia" w:ascii="仿宋" w:hAnsi="仿宋" w:eastAsia="仿宋" w:cs="仿宋"/>
                <w:i w:val="0"/>
                <w:iCs w:val="0"/>
                <w:color w:val="auto"/>
                <w:sz w:val="20"/>
                <w:szCs w:val="20"/>
                <w:u w:val="none"/>
                <w:lang w:eastAsia="zh-CN"/>
              </w:rPr>
              <w:t>批</w:t>
            </w:r>
          </w:p>
        </w:tc>
        <w:tc>
          <w:tcPr>
            <w:tcW w:w="417" w:type="dxa"/>
            <w:vAlign w:val="center"/>
          </w:tcPr>
          <w:p w14:paraId="624766DD">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仿宋" w:hAnsi="仿宋" w:eastAsia="仿宋" w:cs="仿宋"/>
                <w:sz w:val="20"/>
                <w:szCs w:val="20"/>
              </w:rPr>
            </w:pPr>
            <w:r>
              <w:rPr>
                <w:rFonts w:hint="eastAsia" w:ascii="仿宋" w:hAnsi="仿宋" w:eastAsia="仿宋" w:cs="仿宋"/>
                <w:i w:val="0"/>
                <w:iCs w:val="0"/>
                <w:color w:val="auto"/>
                <w:kern w:val="0"/>
                <w:sz w:val="20"/>
                <w:szCs w:val="20"/>
                <w:u w:val="none"/>
                <w:lang w:val="en-US" w:eastAsia="zh-CN"/>
              </w:rPr>
              <w:t>3</w:t>
            </w:r>
          </w:p>
        </w:tc>
        <w:tc>
          <w:tcPr>
            <w:tcW w:w="715" w:type="dxa"/>
            <w:vAlign w:val="center"/>
          </w:tcPr>
          <w:p w14:paraId="3601B177">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sz w:val="20"/>
                <w:szCs w:val="20"/>
                <w:lang w:eastAsia="zh-CN"/>
              </w:rPr>
            </w:pPr>
            <w:r>
              <w:rPr>
                <w:rFonts w:hint="eastAsia" w:ascii="仿宋" w:hAnsi="仿宋" w:eastAsia="仿宋" w:cs="仿宋"/>
                <w:i w:val="0"/>
                <w:iCs w:val="0"/>
                <w:color w:val="000000"/>
                <w:kern w:val="0"/>
                <w:sz w:val="20"/>
                <w:szCs w:val="20"/>
                <w:highlight w:val="none"/>
                <w:u w:val="none"/>
                <w:lang w:val="en-US" w:eastAsia="zh-CN"/>
              </w:rPr>
              <w:t>0.7</w:t>
            </w:r>
          </w:p>
        </w:tc>
        <w:tc>
          <w:tcPr>
            <w:tcW w:w="715" w:type="dxa"/>
            <w:vAlign w:val="center"/>
          </w:tcPr>
          <w:p w14:paraId="534591FA">
            <w:pPr>
              <w:keepNext w:val="0"/>
              <w:keepLines w:val="0"/>
              <w:widowControl/>
              <w:suppressLineNumbers w:val="0"/>
              <w:snapToGrid w:val="0"/>
              <w:ind w:left="0" w:leftChars="0" w:right="0" w:rightChars="0" w:firstLine="0" w:firstLineChars="0"/>
              <w:jc w:val="right"/>
              <w:textAlignment w:val="center"/>
              <w:rPr>
                <w:rFonts w:hint="eastAsia" w:ascii="仿宋" w:hAnsi="仿宋" w:eastAsia="仿宋" w:cs="仿宋"/>
                <w:sz w:val="20"/>
                <w:szCs w:val="20"/>
                <w:lang w:eastAsia="zh-CN"/>
              </w:rPr>
            </w:pPr>
            <w:r>
              <w:rPr>
                <w:rFonts w:hint="eastAsia" w:ascii="仿宋" w:hAnsi="仿宋" w:eastAsia="仿宋" w:cs="仿宋"/>
                <w:i w:val="0"/>
                <w:iCs w:val="0"/>
                <w:color w:val="000000"/>
                <w:kern w:val="0"/>
                <w:sz w:val="20"/>
                <w:szCs w:val="20"/>
                <w:u w:val="none"/>
                <w:lang w:val="en-US" w:eastAsia="zh-CN"/>
              </w:rPr>
              <w:t>2.1</w:t>
            </w:r>
          </w:p>
        </w:tc>
      </w:tr>
      <w:tr w14:paraId="02661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244" w:type="pct"/>
            <w:vAlign w:val="center"/>
          </w:tcPr>
          <w:p w14:paraId="24D273AB">
            <w:pPr>
              <w:jc w:val="center"/>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3</w:t>
            </w:r>
          </w:p>
        </w:tc>
        <w:tc>
          <w:tcPr>
            <w:tcW w:w="417" w:type="dxa"/>
            <w:vAlign w:val="center"/>
          </w:tcPr>
          <w:p w14:paraId="04FA81DB">
            <w:pPr>
              <w:jc w:val="center"/>
              <w:rPr>
                <w:rFonts w:hint="eastAsia" w:ascii="仿宋" w:hAnsi="仿宋" w:eastAsia="仿宋" w:cs="仿宋"/>
                <w:sz w:val="20"/>
                <w:szCs w:val="20"/>
              </w:rPr>
            </w:pPr>
            <w:r>
              <w:rPr>
                <w:rFonts w:hint="eastAsia" w:ascii="仿宋" w:hAnsi="仿宋" w:eastAsia="仿宋" w:cs="仿宋"/>
                <w:sz w:val="20"/>
                <w:szCs w:val="20"/>
                <w:lang w:val="en-US" w:eastAsia="zh-CN"/>
              </w:rPr>
              <w:t>现场采样设备</w:t>
            </w:r>
          </w:p>
        </w:tc>
        <w:tc>
          <w:tcPr>
            <w:tcW w:w="567" w:type="dxa"/>
            <w:vAlign w:val="center"/>
          </w:tcPr>
          <w:p w14:paraId="56D49EC2">
            <w:pPr>
              <w:jc w:val="center"/>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便携标签打印机</w:t>
            </w:r>
          </w:p>
        </w:tc>
        <w:tc>
          <w:tcPr>
            <w:tcW w:w="4850" w:type="dxa"/>
            <w:vAlign w:val="center"/>
          </w:tcPr>
          <w:p w14:paraId="4CD320CC">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sz w:val="20"/>
                <w:szCs w:val="20"/>
              </w:rPr>
            </w:pPr>
            <w:r>
              <w:rPr>
                <w:rFonts w:hint="eastAsia" w:ascii="仿宋" w:hAnsi="仿宋" w:eastAsia="仿宋" w:cs="仿宋"/>
                <w:i w:val="0"/>
                <w:iCs w:val="0"/>
                <w:color w:val="auto"/>
                <w:kern w:val="0"/>
                <w:sz w:val="20"/>
                <w:szCs w:val="20"/>
                <w:u w:val="none"/>
                <w:lang w:val="en-US" w:eastAsia="zh-CN"/>
              </w:rPr>
              <w:t>便携式热转印标签打印机，一体式撕纸刀；无轴纸仓设计，装纸便捷，支持蓝牙连接，能够打印25*25mm和40*70mm标签，配备充电器和充电电池，适配水生态采样系统。</w:t>
            </w:r>
          </w:p>
        </w:tc>
        <w:tc>
          <w:tcPr>
            <w:tcW w:w="417" w:type="dxa"/>
            <w:vAlign w:val="center"/>
          </w:tcPr>
          <w:p w14:paraId="416D6C3B">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仿宋" w:hAnsi="仿宋" w:eastAsia="仿宋" w:cs="仿宋"/>
                <w:sz w:val="20"/>
                <w:szCs w:val="20"/>
              </w:rPr>
            </w:pPr>
            <w:r>
              <w:rPr>
                <w:rFonts w:hint="eastAsia" w:ascii="仿宋" w:hAnsi="仿宋" w:eastAsia="仿宋" w:cs="仿宋"/>
                <w:i w:val="0"/>
                <w:iCs w:val="0"/>
                <w:color w:val="auto"/>
                <w:kern w:val="0"/>
                <w:sz w:val="20"/>
                <w:szCs w:val="20"/>
                <w:u w:val="none"/>
                <w:lang w:val="en-US" w:eastAsia="zh-CN"/>
              </w:rPr>
              <w:t>套</w:t>
            </w:r>
          </w:p>
        </w:tc>
        <w:tc>
          <w:tcPr>
            <w:tcW w:w="417" w:type="dxa"/>
            <w:vAlign w:val="center"/>
          </w:tcPr>
          <w:p w14:paraId="081EC924">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仿宋" w:hAnsi="仿宋" w:eastAsia="仿宋" w:cs="仿宋"/>
                <w:sz w:val="20"/>
                <w:szCs w:val="20"/>
              </w:rPr>
            </w:pPr>
            <w:r>
              <w:rPr>
                <w:rFonts w:hint="eastAsia" w:ascii="仿宋" w:hAnsi="仿宋" w:eastAsia="仿宋" w:cs="仿宋"/>
                <w:i w:val="0"/>
                <w:iCs w:val="0"/>
                <w:color w:val="auto"/>
                <w:kern w:val="0"/>
                <w:sz w:val="20"/>
                <w:szCs w:val="20"/>
                <w:u w:val="none"/>
                <w:lang w:val="en-US" w:eastAsia="zh-CN"/>
              </w:rPr>
              <w:t>6</w:t>
            </w:r>
          </w:p>
        </w:tc>
        <w:tc>
          <w:tcPr>
            <w:tcW w:w="715" w:type="dxa"/>
            <w:vAlign w:val="center"/>
          </w:tcPr>
          <w:p w14:paraId="15650D4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sz w:val="20"/>
                <w:szCs w:val="20"/>
                <w:lang w:eastAsia="zh-CN"/>
              </w:rPr>
            </w:pPr>
            <w:r>
              <w:rPr>
                <w:rFonts w:hint="eastAsia" w:ascii="仿宋" w:hAnsi="仿宋" w:eastAsia="仿宋" w:cs="仿宋"/>
                <w:i w:val="0"/>
                <w:iCs w:val="0"/>
                <w:color w:val="000000"/>
                <w:kern w:val="0"/>
                <w:sz w:val="20"/>
                <w:szCs w:val="20"/>
                <w:highlight w:val="none"/>
                <w:u w:val="none"/>
                <w:lang w:val="en-US" w:eastAsia="zh-CN"/>
              </w:rPr>
              <w:t>0.05</w:t>
            </w:r>
          </w:p>
        </w:tc>
        <w:tc>
          <w:tcPr>
            <w:tcW w:w="715" w:type="dxa"/>
            <w:vAlign w:val="center"/>
          </w:tcPr>
          <w:p w14:paraId="46B4AFB9">
            <w:pPr>
              <w:keepNext w:val="0"/>
              <w:keepLines w:val="0"/>
              <w:widowControl/>
              <w:suppressLineNumbers w:val="0"/>
              <w:snapToGrid w:val="0"/>
              <w:ind w:left="0" w:leftChars="0" w:right="0" w:rightChars="0" w:firstLine="0" w:firstLineChars="0"/>
              <w:jc w:val="right"/>
              <w:textAlignment w:val="center"/>
              <w:rPr>
                <w:rFonts w:hint="eastAsia" w:ascii="仿宋" w:hAnsi="仿宋" w:eastAsia="仿宋" w:cs="仿宋"/>
                <w:sz w:val="20"/>
                <w:szCs w:val="20"/>
                <w:lang w:eastAsia="zh-CN"/>
              </w:rPr>
            </w:pPr>
            <w:r>
              <w:rPr>
                <w:rFonts w:hint="eastAsia" w:ascii="仿宋" w:hAnsi="仿宋" w:eastAsia="仿宋" w:cs="仿宋"/>
                <w:i w:val="0"/>
                <w:iCs w:val="0"/>
                <w:color w:val="000000"/>
                <w:kern w:val="0"/>
                <w:sz w:val="20"/>
                <w:szCs w:val="20"/>
                <w:u w:val="none"/>
                <w:lang w:val="en-US" w:eastAsia="zh-CN"/>
              </w:rPr>
              <w:t>0.3</w:t>
            </w:r>
          </w:p>
        </w:tc>
      </w:tr>
      <w:tr w14:paraId="73AF1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244" w:type="pct"/>
            <w:vAlign w:val="center"/>
          </w:tcPr>
          <w:p w14:paraId="1E428FA7">
            <w:pPr>
              <w:jc w:val="center"/>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4</w:t>
            </w:r>
          </w:p>
        </w:tc>
        <w:tc>
          <w:tcPr>
            <w:tcW w:w="417" w:type="dxa"/>
            <w:vAlign w:val="center"/>
          </w:tcPr>
          <w:p w14:paraId="54216298">
            <w:pPr>
              <w:jc w:val="center"/>
              <w:rPr>
                <w:rFonts w:hint="eastAsia" w:ascii="仿宋" w:hAnsi="仿宋" w:eastAsia="仿宋" w:cs="仿宋"/>
                <w:sz w:val="20"/>
                <w:szCs w:val="20"/>
              </w:rPr>
            </w:pPr>
            <w:r>
              <w:rPr>
                <w:rFonts w:hint="eastAsia" w:ascii="仿宋" w:hAnsi="仿宋" w:eastAsia="仿宋" w:cs="仿宋"/>
                <w:sz w:val="20"/>
                <w:szCs w:val="20"/>
                <w:lang w:val="en-US" w:eastAsia="zh-CN"/>
              </w:rPr>
              <w:t>现场采样设备</w:t>
            </w:r>
          </w:p>
        </w:tc>
        <w:tc>
          <w:tcPr>
            <w:tcW w:w="567" w:type="dxa"/>
            <w:vAlign w:val="center"/>
          </w:tcPr>
          <w:p w14:paraId="1F95C62D">
            <w:pPr>
              <w:jc w:val="center"/>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便携标签打印机耗材</w:t>
            </w:r>
          </w:p>
        </w:tc>
        <w:tc>
          <w:tcPr>
            <w:tcW w:w="4850" w:type="dxa"/>
            <w:vAlign w:val="center"/>
          </w:tcPr>
          <w:p w14:paraId="612A890B">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树脂基碳带100卷，适配PET、合成纸标签，耐高低温、防有机溶剂腐蚀，适配便携标签打印机。</w:t>
            </w:r>
          </w:p>
          <w:p w14:paraId="5ED242B9">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sz w:val="20"/>
                <w:szCs w:val="20"/>
              </w:rPr>
            </w:pPr>
            <w:r>
              <w:rPr>
                <w:rFonts w:hint="eastAsia" w:ascii="仿宋" w:hAnsi="仿宋" w:eastAsia="仿宋" w:cs="仿宋"/>
                <w:i w:val="0"/>
                <w:iCs w:val="0"/>
                <w:color w:val="auto"/>
                <w:kern w:val="0"/>
                <w:sz w:val="20"/>
                <w:szCs w:val="20"/>
                <w:u w:val="none"/>
                <w:lang w:val="en-US" w:eastAsia="zh-CN"/>
              </w:rPr>
              <w:t>标签纸：防水、防油、不易撕毁；自带强力不干胶背胶。25*25mm白色标签纸100卷，40*70mm白色标签纸100卷。</w:t>
            </w:r>
          </w:p>
        </w:tc>
        <w:tc>
          <w:tcPr>
            <w:tcW w:w="417" w:type="dxa"/>
            <w:vAlign w:val="center"/>
          </w:tcPr>
          <w:p w14:paraId="0A09F816">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仿宋" w:hAnsi="仿宋" w:eastAsia="仿宋" w:cs="仿宋"/>
                <w:sz w:val="20"/>
                <w:szCs w:val="20"/>
              </w:rPr>
            </w:pPr>
            <w:r>
              <w:rPr>
                <w:rFonts w:hint="eastAsia" w:ascii="仿宋" w:hAnsi="仿宋" w:eastAsia="仿宋" w:cs="仿宋"/>
                <w:i w:val="0"/>
                <w:iCs w:val="0"/>
                <w:color w:val="auto"/>
                <w:kern w:val="0"/>
                <w:sz w:val="20"/>
                <w:szCs w:val="20"/>
                <w:u w:val="none"/>
                <w:lang w:val="en-US" w:eastAsia="zh-CN"/>
              </w:rPr>
              <w:t>套</w:t>
            </w:r>
          </w:p>
        </w:tc>
        <w:tc>
          <w:tcPr>
            <w:tcW w:w="417" w:type="dxa"/>
            <w:vAlign w:val="center"/>
          </w:tcPr>
          <w:p w14:paraId="2C05AB91">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仿宋" w:hAnsi="仿宋" w:eastAsia="仿宋" w:cs="仿宋"/>
                <w:sz w:val="20"/>
                <w:szCs w:val="20"/>
              </w:rPr>
            </w:pPr>
            <w:r>
              <w:rPr>
                <w:rFonts w:hint="eastAsia" w:ascii="仿宋" w:hAnsi="仿宋" w:eastAsia="仿宋" w:cs="仿宋"/>
                <w:i w:val="0"/>
                <w:iCs w:val="0"/>
                <w:color w:val="auto"/>
                <w:kern w:val="0"/>
                <w:sz w:val="20"/>
                <w:szCs w:val="20"/>
                <w:u w:val="none"/>
                <w:lang w:val="en-US" w:eastAsia="zh-CN"/>
              </w:rPr>
              <w:t>1</w:t>
            </w:r>
          </w:p>
        </w:tc>
        <w:tc>
          <w:tcPr>
            <w:tcW w:w="715" w:type="dxa"/>
            <w:vAlign w:val="center"/>
          </w:tcPr>
          <w:p w14:paraId="45D701C5">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sz w:val="20"/>
                <w:szCs w:val="20"/>
                <w:lang w:eastAsia="zh-CN"/>
              </w:rPr>
            </w:pPr>
            <w:r>
              <w:rPr>
                <w:rFonts w:hint="eastAsia" w:ascii="仿宋" w:hAnsi="仿宋" w:eastAsia="仿宋" w:cs="仿宋"/>
                <w:i w:val="0"/>
                <w:iCs w:val="0"/>
                <w:color w:val="000000"/>
                <w:kern w:val="0"/>
                <w:sz w:val="20"/>
                <w:szCs w:val="20"/>
                <w:highlight w:val="none"/>
                <w:u w:val="none"/>
                <w:lang w:val="en-US" w:eastAsia="zh-CN"/>
              </w:rPr>
              <w:t>0.8</w:t>
            </w:r>
          </w:p>
        </w:tc>
        <w:tc>
          <w:tcPr>
            <w:tcW w:w="715" w:type="dxa"/>
            <w:vAlign w:val="center"/>
          </w:tcPr>
          <w:p w14:paraId="0D3E639E">
            <w:pPr>
              <w:keepNext w:val="0"/>
              <w:keepLines w:val="0"/>
              <w:widowControl/>
              <w:suppressLineNumbers w:val="0"/>
              <w:snapToGrid w:val="0"/>
              <w:ind w:left="0" w:leftChars="0" w:right="0" w:rightChars="0" w:firstLine="0" w:firstLineChars="0"/>
              <w:jc w:val="right"/>
              <w:textAlignment w:val="center"/>
              <w:rPr>
                <w:rFonts w:hint="eastAsia" w:ascii="仿宋" w:hAnsi="仿宋" w:eastAsia="仿宋" w:cs="仿宋"/>
                <w:sz w:val="20"/>
                <w:szCs w:val="20"/>
                <w:lang w:eastAsia="zh-CN"/>
              </w:rPr>
            </w:pPr>
            <w:r>
              <w:rPr>
                <w:rFonts w:hint="eastAsia" w:ascii="仿宋" w:hAnsi="仿宋" w:eastAsia="仿宋" w:cs="仿宋"/>
                <w:i w:val="0"/>
                <w:iCs w:val="0"/>
                <w:color w:val="000000"/>
                <w:kern w:val="0"/>
                <w:sz w:val="20"/>
                <w:szCs w:val="20"/>
                <w:u w:val="none"/>
                <w:lang w:val="en-US" w:eastAsia="zh-CN"/>
              </w:rPr>
              <w:t>0.8</w:t>
            </w:r>
          </w:p>
        </w:tc>
      </w:tr>
      <w:tr w14:paraId="1156B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244" w:type="pct"/>
            <w:vAlign w:val="center"/>
          </w:tcPr>
          <w:p w14:paraId="185F0616">
            <w:pPr>
              <w:jc w:val="center"/>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5</w:t>
            </w:r>
          </w:p>
        </w:tc>
        <w:tc>
          <w:tcPr>
            <w:tcW w:w="417" w:type="dxa"/>
            <w:vAlign w:val="center"/>
          </w:tcPr>
          <w:p w14:paraId="1A9F23F7">
            <w:pPr>
              <w:jc w:val="center"/>
              <w:rPr>
                <w:rFonts w:hint="eastAsia" w:ascii="仿宋" w:hAnsi="仿宋" w:eastAsia="仿宋" w:cs="仿宋"/>
                <w:sz w:val="20"/>
                <w:szCs w:val="20"/>
              </w:rPr>
            </w:pPr>
            <w:r>
              <w:rPr>
                <w:rFonts w:hint="eastAsia" w:ascii="仿宋" w:hAnsi="仿宋" w:eastAsia="仿宋" w:cs="仿宋"/>
                <w:sz w:val="20"/>
                <w:szCs w:val="20"/>
                <w:lang w:val="en-US" w:eastAsia="zh-CN"/>
              </w:rPr>
              <w:t>现场采样设备</w:t>
            </w:r>
          </w:p>
        </w:tc>
        <w:tc>
          <w:tcPr>
            <w:tcW w:w="567" w:type="dxa"/>
            <w:vAlign w:val="center"/>
          </w:tcPr>
          <w:p w14:paraId="2C2523D1">
            <w:pPr>
              <w:jc w:val="center"/>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激光测距望远镜</w:t>
            </w:r>
          </w:p>
        </w:tc>
        <w:tc>
          <w:tcPr>
            <w:tcW w:w="4850" w:type="dxa"/>
            <w:vAlign w:val="center"/>
          </w:tcPr>
          <w:p w14:paraId="186B2C80">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1.测量范围：3m-3000m 。</w:t>
            </w:r>
          </w:p>
          <w:p w14:paraId="18395CD7">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2.误差：±0.3m 。</w:t>
            </w:r>
          </w:p>
          <w:p w14:paraId="7805DEFE">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3.防护等级：IP54 。</w:t>
            </w:r>
          </w:p>
          <w:p w14:paraId="6B174FEB">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4.电池容量：750mAh锂电池直充 。</w:t>
            </w:r>
          </w:p>
          <w:p w14:paraId="5981DDEE">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5.内置强磁可吸附固定 。</w:t>
            </w:r>
          </w:p>
          <w:p w14:paraId="5A6D918C">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 xml:space="preserve">6.高清红显/黑显可切换。 </w:t>
            </w:r>
          </w:p>
          <w:p w14:paraId="339D9F34">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7.空间任意两点测量 。</w:t>
            </w:r>
          </w:p>
          <w:p w14:paraId="2EA7D996">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8.方位距离测量 。</w:t>
            </w:r>
          </w:p>
          <w:p w14:paraId="466AE567">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sz w:val="20"/>
                <w:szCs w:val="20"/>
              </w:rPr>
            </w:pPr>
            <w:r>
              <w:rPr>
                <w:rFonts w:hint="eastAsia" w:ascii="仿宋" w:hAnsi="仿宋" w:eastAsia="仿宋" w:cs="仿宋"/>
                <w:i w:val="0"/>
                <w:iCs w:val="0"/>
                <w:color w:val="auto"/>
                <w:kern w:val="0"/>
                <w:sz w:val="20"/>
                <w:szCs w:val="20"/>
                <w:u w:val="none"/>
                <w:lang w:val="en-US" w:eastAsia="zh-CN"/>
              </w:rPr>
              <w:t>9.测距/测角/测高/测速/连续测量/跨距测量。</w:t>
            </w:r>
          </w:p>
        </w:tc>
        <w:tc>
          <w:tcPr>
            <w:tcW w:w="417" w:type="dxa"/>
            <w:vAlign w:val="center"/>
          </w:tcPr>
          <w:p w14:paraId="6810E6F0">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仿宋" w:hAnsi="仿宋" w:eastAsia="仿宋" w:cs="仿宋"/>
                <w:sz w:val="20"/>
                <w:szCs w:val="20"/>
              </w:rPr>
            </w:pPr>
            <w:r>
              <w:rPr>
                <w:rFonts w:hint="eastAsia" w:ascii="仿宋" w:hAnsi="仿宋" w:eastAsia="仿宋" w:cs="仿宋"/>
                <w:i w:val="0"/>
                <w:iCs w:val="0"/>
                <w:color w:val="auto"/>
                <w:kern w:val="0"/>
                <w:sz w:val="20"/>
                <w:szCs w:val="20"/>
                <w:u w:val="none"/>
                <w:lang w:val="en-US" w:eastAsia="zh-CN"/>
              </w:rPr>
              <w:t>台</w:t>
            </w:r>
          </w:p>
        </w:tc>
        <w:tc>
          <w:tcPr>
            <w:tcW w:w="417" w:type="dxa"/>
            <w:vAlign w:val="center"/>
          </w:tcPr>
          <w:p w14:paraId="5FEE2A3C">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仿宋" w:hAnsi="仿宋" w:eastAsia="仿宋" w:cs="仿宋"/>
                <w:sz w:val="20"/>
                <w:szCs w:val="20"/>
              </w:rPr>
            </w:pPr>
            <w:r>
              <w:rPr>
                <w:rFonts w:hint="eastAsia" w:ascii="仿宋" w:hAnsi="仿宋" w:eastAsia="仿宋" w:cs="仿宋"/>
                <w:i w:val="0"/>
                <w:iCs w:val="0"/>
                <w:color w:val="auto"/>
                <w:kern w:val="0"/>
                <w:sz w:val="20"/>
                <w:szCs w:val="20"/>
                <w:u w:val="none"/>
                <w:lang w:val="en-US" w:eastAsia="zh-CN"/>
              </w:rPr>
              <w:t>1</w:t>
            </w:r>
          </w:p>
        </w:tc>
        <w:tc>
          <w:tcPr>
            <w:tcW w:w="715" w:type="dxa"/>
            <w:vAlign w:val="center"/>
          </w:tcPr>
          <w:p w14:paraId="42B41D44">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sz w:val="20"/>
                <w:szCs w:val="20"/>
                <w:lang w:eastAsia="zh-CN"/>
              </w:rPr>
            </w:pPr>
            <w:r>
              <w:rPr>
                <w:rFonts w:hint="eastAsia" w:ascii="仿宋" w:hAnsi="仿宋" w:eastAsia="仿宋" w:cs="仿宋"/>
                <w:i w:val="0"/>
                <w:iCs w:val="0"/>
                <w:color w:val="000000"/>
                <w:kern w:val="0"/>
                <w:sz w:val="20"/>
                <w:szCs w:val="20"/>
                <w:highlight w:val="none"/>
                <w:u w:val="none"/>
                <w:lang w:val="en-US" w:eastAsia="zh-CN"/>
              </w:rPr>
              <w:t>0.5</w:t>
            </w:r>
          </w:p>
        </w:tc>
        <w:tc>
          <w:tcPr>
            <w:tcW w:w="715" w:type="dxa"/>
            <w:vAlign w:val="center"/>
          </w:tcPr>
          <w:p w14:paraId="5A52DBA5">
            <w:pPr>
              <w:keepNext w:val="0"/>
              <w:keepLines w:val="0"/>
              <w:widowControl/>
              <w:suppressLineNumbers w:val="0"/>
              <w:snapToGrid w:val="0"/>
              <w:ind w:left="0" w:leftChars="0" w:right="0" w:rightChars="0" w:firstLine="0" w:firstLineChars="0"/>
              <w:jc w:val="right"/>
              <w:textAlignment w:val="center"/>
              <w:rPr>
                <w:rFonts w:hint="eastAsia" w:ascii="仿宋" w:hAnsi="仿宋" w:eastAsia="仿宋" w:cs="仿宋"/>
                <w:sz w:val="20"/>
                <w:szCs w:val="20"/>
                <w:lang w:eastAsia="zh-CN"/>
              </w:rPr>
            </w:pPr>
            <w:r>
              <w:rPr>
                <w:rFonts w:hint="eastAsia" w:ascii="仿宋" w:hAnsi="仿宋" w:eastAsia="仿宋" w:cs="仿宋"/>
                <w:i w:val="0"/>
                <w:iCs w:val="0"/>
                <w:color w:val="000000"/>
                <w:kern w:val="0"/>
                <w:sz w:val="20"/>
                <w:szCs w:val="20"/>
                <w:u w:val="none"/>
                <w:lang w:val="en-US" w:eastAsia="zh-CN"/>
              </w:rPr>
              <w:t>0.5</w:t>
            </w:r>
          </w:p>
        </w:tc>
      </w:tr>
      <w:tr w14:paraId="7EC6A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244" w:type="pct"/>
            <w:vAlign w:val="center"/>
          </w:tcPr>
          <w:p w14:paraId="7F536AA3">
            <w:pPr>
              <w:jc w:val="center"/>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6</w:t>
            </w:r>
          </w:p>
        </w:tc>
        <w:tc>
          <w:tcPr>
            <w:tcW w:w="417" w:type="dxa"/>
            <w:vAlign w:val="center"/>
          </w:tcPr>
          <w:p w14:paraId="4AA02A4A">
            <w:pPr>
              <w:jc w:val="center"/>
              <w:rPr>
                <w:rFonts w:hint="eastAsia" w:ascii="仿宋" w:hAnsi="仿宋" w:eastAsia="仿宋" w:cs="仿宋"/>
                <w:sz w:val="20"/>
                <w:szCs w:val="20"/>
              </w:rPr>
            </w:pPr>
            <w:r>
              <w:rPr>
                <w:rFonts w:hint="eastAsia" w:ascii="仿宋" w:hAnsi="仿宋" w:eastAsia="仿宋" w:cs="仿宋"/>
                <w:sz w:val="20"/>
                <w:szCs w:val="20"/>
                <w:lang w:val="en-US" w:eastAsia="zh-CN"/>
              </w:rPr>
              <w:t>现场采样设备</w:t>
            </w:r>
          </w:p>
        </w:tc>
        <w:tc>
          <w:tcPr>
            <w:tcW w:w="567" w:type="dxa"/>
            <w:vAlign w:val="center"/>
          </w:tcPr>
          <w:p w14:paraId="563A7F83">
            <w:pPr>
              <w:jc w:val="center"/>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便携式综合气象仪</w:t>
            </w:r>
          </w:p>
        </w:tc>
        <w:tc>
          <w:tcPr>
            <w:tcW w:w="4850" w:type="dxa"/>
            <w:vAlign w:val="center"/>
          </w:tcPr>
          <w:p w14:paraId="6F4C18BE">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1.风速量程：0.6~30m/s，分辨率0.1m/s。</w:t>
            </w:r>
          </w:p>
          <w:p w14:paraId="351540A4">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2.照度量程：10~200000LUX/FC,分辨率1LUX。</w:t>
            </w:r>
          </w:p>
          <w:p w14:paraId="4152C0A4">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3.紫外线量程：0.0~15.00mW/cm²，分辨率±0.01mW/cm²。</w:t>
            </w:r>
          </w:p>
          <w:p w14:paraId="6459573D">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4.大气压：1~110Kpa，分辨率0.1Kpa。</w:t>
            </w:r>
          </w:p>
          <w:p w14:paraId="645D3EF8">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5.温度/湿度：-10~60℃ (14~140F); 5~99%RH，0.1℃/0.1°℉; (1%RH)。</w:t>
            </w:r>
          </w:p>
          <w:p w14:paraId="58C06B87">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sz w:val="20"/>
                <w:szCs w:val="20"/>
              </w:rPr>
            </w:pPr>
            <w:r>
              <w:rPr>
                <w:rFonts w:hint="eastAsia" w:ascii="仿宋" w:hAnsi="仿宋" w:eastAsia="仿宋" w:cs="仿宋"/>
                <w:i w:val="0"/>
                <w:iCs w:val="0"/>
                <w:color w:val="auto"/>
                <w:kern w:val="0"/>
                <w:sz w:val="20"/>
                <w:szCs w:val="20"/>
                <w:u w:val="none"/>
                <w:lang w:val="en-US" w:eastAsia="zh-CN"/>
              </w:rPr>
              <w:t>6.具备数据存储不低于20万笔、数据导出、报警设置、自动关机等功能。</w:t>
            </w:r>
          </w:p>
        </w:tc>
        <w:tc>
          <w:tcPr>
            <w:tcW w:w="417" w:type="dxa"/>
            <w:vAlign w:val="center"/>
          </w:tcPr>
          <w:p w14:paraId="2EA51EC9">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仿宋" w:hAnsi="仿宋" w:eastAsia="仿宋" w:cs="仿宋"/>
                <w:sz w:val="20"/>
                <w:szCs w:val="20"/>
              </w:rPr>
            </w:pPr>
            <w:r>
              <w:rPr>
                <w:rFonts w:hint="eastAsia" w:ascii="仿宋" w:hAnsi="仿宋" w:eastAsia="仿宋" w:cs="仿宋"/>
                <w:i w:val="0"/>
                <w:iCs w:val="0"/>
                <w:color w:val="auto"/>
                <w:kern w:val="0"/>
                <w:sz w:val="20"/>
                <w:szCs w:val="20"/>
                <w:u w:val="none"/>
                <w:lang w:val="en-US" w:eastAsia="zh-CN"/>
              </w:rPr>
              <w:t>台</w:t>
            </w:r>
          </w:p>
        </w:tc>
        <w:tc>
          <w:tcPr>
            <w:tcW w:w="417" w:type="dxa"/>
            <w:vAlign w:val="center"/>
          </w:tcPr>
          <w:p w14:paraId="321BFB22">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仿宋" w:hAnsi="仿宋" w:eastAsia="仿宋" w:cs="仿宋"/>
                <w:sz w:val="20"/>
                <w:szCs w:val="20"/>
              </w:rPr>
            </w:pPr>
            <w:r>
              <w:rPr>
                <w:rFonts w:hint="eastAsia" w:ascii="仿宋" w:hAnsi="仿宋" w:eastAsia="仿宋" w:cs="仿宋"/>
                <w:i w:val="0"/>
                <w:iCs w:val="0"/>
                <w:color w:val="auto"/>
                <w:kern w:val="0"/>
                <w:sz w:val="20"/>
                <w:szCs w:val="20"/>
                <w:u w:val="none"/>
                <w:lang w:val="en-US" w:eastAsia="zh-CN"/>
              </w:rPr>
              <w:t>1</w:t>
            </w:r>
          </w:p>
        </w:tc>
        <w:tc>
          <w:tcPr>
            <w:tcW w:w="715" w:type="dxa"/>
            <w:vAlign w:val="center"/>
          </w:tcPr>
          <w:p w14:paraId="40854739">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sz w:val="20"/>
                <w:szCs w:val="20"/>
                <w:lang w:eastAsia="zh-CN"/>
              </w:rPr>
            </w:pPr>
            <w:r>
              <w:rPr>
                <w:rFonts w:hint="eastAsia" w:ascii="仿宋" w:hAnsi="仿宋" w:eastAsia="仿宋" w:cs="仿宋"/>
                <w:i w:val="0"/>
                <w:iCs w:val="0"/>
                <w:color w:val="000000"/>
                <w:kern w:val="0"/>
                <w:sz w:val="20"/>
                <w:szCs w:val="20"/>
                <w:highlight w:val="none"/>
                <w:u w:val="none"/>
                <w:lang w:val="en-US" w:eastAsia="zh-CN"/>
              </w:rPr>
              <w:t>0.6</w:t>
            </w:r>
          </w:p>
        </w:tc>
        <w:tc>
          <w:tcPr>
            <w:tcW w:w="715" w:type="dxa"/>
            <w:vAlign w:val="center"/>
          </w:tcPr>
          <w:p w14:paraId="65D2FDDC">
            <w:pPr>
              <w:keepNext w:val="0"/>
              <w:keepLines w:val="0"/>
              <w:widowControl/>
              <w:suppressLineNumbers w:val="0"/>
              <w:snapToGrid w:val="0"/>
              <w:ind w:left="0" w:leftChars="0" w:right="0" w:rightChars="0" w:firstLine="0" w:firstLineChars="0"/>
              <w:jc w:val="right"/>
              <w:textAlignment w:val="center"/>
              <w:rPr>
                <w:rFonts w:hint="eastAsia" w:ascii="仿宋" w:hAnsi="仿宋" w:eastAsia="仿宋" w:cs="仿宋"/>
                <w:sz w:val="20"/>
                <w:szCs w:val="20"/>
                <w:lang w:eastAsia="zh-CN"/>
              </w:rPr>
            </w:pPr>
            <w:r>
              <w:rPr>
                <w:rFonts w:hint="eastAsia" w:ascii="仿宋" w:hAnsi="仿宋" w:eastAsia="仿宋" w:cs="仿宋"/>
                <w:i w:val="0"/>
                <w:iCs w:val="0"/>
                <w:color w:val="000000"/>
                <w:kern w:val="0"/>
                <w:sz w:val="20"/>
                <w:szCs w:val="20"/>
                <w:u w:val="none"/>
                <w:lang w:val="en-US" w:eastAsia="zh-CN"/>
              </w:rPr>
              <w:t>0.6</w:t>
            </w:r>
          </w:p>
        </w:tc>
      </w:tr>
      <w:tr w14:paraId="60CAF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244" w:type="pct"/>
            <w:vAlign w:val="center"/>
          </w:tcPr>
          <w:p w14:paraId="5FD7BE1E">
            <w:pPr>
              <w:jc w:val="center"/>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7</w:t>
            </w:r>
          </w:p>
        </w:tc>
        <w:tc>
          <w:tcPr>
            <w:tcW w:w="417" w:type="dxa"/>
            <w:vAlign w:val="center"/>
          </w:tcPr>
          <w:p w14:paraId="53EF90D7">
            <w:pPr>
              <w:jc w:val="center"/>
              <w:rPr>
                <w:rFonts w:hint="eastAsia" w:ascii="仿宋" w:hAnsi="仿宋" w:eastAsia="仿宋" w:cs="仿宋"/>
                <w:sz w:val="20"/>
                <w:szCs w:val="20"/>
              </w:rPr>
            </w:pPr>
            <w:r>
              <w:rPr>
                <w:rFonts w:hint="eastAsia" w:ascii="仿宋" w:hAnsi="仿宋" w:eastAsia="仿宋" w:cs="仿宋"/>
                <w:sz w:val="20"/>
                <w:szCs w:val="20"/>
                <w:lang w:val="en-US" w:eastAsia="zh-CN"/>
              </w:rPr>
              <w:t>水生生物定性定量</w:t>
            </w:r>
          </w:p>
        </w:tc>
        <w:tc>
          <w:tcPr>
            <w:tcW w:w="567" w:type="dxa"/>
            <w:vAlign w:val="center"/>
          </w:tcPr>
          <w:p w14:paraId="5B96B230">
            <w:pPr>
              <w:jc w:val="center"/>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浮游植物前处理仪</w:t>
            </w:r>
          </w:p>
        </w:tc>
        <w:tc>
          <w:tcPr>
            <w:tcW w:w="4850" w:type="dxa"/>
            <w:vAlign w:val="center"/>
          </w:tcPr>
          <w:p w14:paraId="493AA6BB">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zh-CN" w:eastAsia="zh-CN"/>
              </w:rPr>
            </w:pPr>
            <w:r>
              <w:rPr>
                <w:rFonts w:hint="eastAsia" w:ascii="仿宋" w:hAnsi="仿宋" w:eastAsia="仿宋" w:cs="仿宋"/>
                <w:i w:val="0"/>
                <w:iCs w:val="0"/>
                <w:color w:val="auto"/>
                <w:kern w:val="0"/>
                <w:sz w:val="20"/>
                <w:szCs w:val="20"/>
                <w:u w:val="none"/>
                <w:lang w:val="en-US" w:eastAsia="zh-CN"/>
              </w:rPr>
              <w:t>1.符合标准：</w:t>
            </w:r>
          </w:p>
          <w:p w14:paraId="08F20F25">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zh-CN" w:eastAsia="zh-CN"/>
              </w:rPr>
              <w:t xml:space="preserve">《水质 浮游植物的测定 </w:t>
            </w:r>
            <w:r>
              <w:rPr>
                <w:rFonts w:hint="eastAsia" w:ascii="仿宋" w:hAnsi="仿宋" w:eastAsia="仿宋" w:cs="仿宋"/>
                <w:i w:val="0"/>
                <w:iCs w:val="0"/>
                <w:color w:val="auto"/>
                <w:kern w:val="0"/>
                <w:sz w:val="20"/>
                <w:szCs w:val="20"/>
                <w:u w:val="none"/>
                <w:lang w:val="en-US" w:eastAsia="zh-CN"/>
              </w:rPr>
              <w:t>0</w:t>
            </w:r>
            <w:r>
              <w:rPr>
                <w:rFonts w:hint="eastAsia" w:ascii="仿宋" w:hAnsi="仿宋" w:eastAsia="仿宋" w:cs="仿宋"/>
                <w:i w:val="0"/>
                <w:iCs w:val="0"/>
                <w:color w:val="auto"/>
                <w:kern w:val="0"/>
                <w:sz w:val="20"/>
                <w:szCs w:val="20"/>
                <w:u w:val="none"/>
                <w:lang w:val="zh-CN" w:eastAsia="zh-CN"/>
              </w:rPr>
              <w:t>.</w:t>
            </w:r>
            <w:r>
              <w:rPr>
                <w:rFonts w:hint="eastAsia" w:ascii="仿宋" w:hAnsi="仿宋" w:eastAsia="仿宋" w:cs="仿宋"/>
                <w:i w:val="0"/>
                <w:iCs w:val="0"/>
                <w:color w:val="auto"/>
                <w:kern w:val="0"/>
                <w:sz w:val="20"/>
                <w:szCs w:val="20"/>
                <w:u w:val="none"/>
                <w:lang w:val="en-US" w:eastAsia="zh-CN"/>
              </w:rPr>
              <w:t>1ml</w:t>
            </w:r>
            <w:r>
              <w:rPr>
                <w:rFonts w:hint="eastAsia" w:ascii="仿宋" w:hAnsi="仿宋" w:eastAsia="仿宋" w:cs="仿宋"/>
                <w:i w:val="0"/>
                <w:iCs w:val="0"/>
                <w:color w:val="auto"/>
                <w:kern w:val="0"/>
                <w:sz w:val="20"/>
                <w:szCs w:val="20"/>
                <w:u w:val="none"/>
                <w:lang w:val="zh-CN" w:eastAsia="zh-CN"/>
              </w:rPr>
              <w:t>计数框-显微镜计数法》（</w:t>
            </w:r>
            <w:r>
              <w:rPr>
                <w:rFonts w:hint="eastAsia" w:ascii="仿宋" w:hAnsi="仿宋" w:eastAsia="仿宋" w:cs="仿宋"/>
                <w:i w:val="0"/>
                <w:iCs w:val="0"/>
                <w:color w:val="auto"/>
                <w:kern w:val="0"/>
                <w:sz w:val="20"/>
                <w:szCs w:val="20"/>
                <w:u w:val="none"/>
                <w:lang w:val="en-US" w:eastAsia="zh-CN"/>
              </w:rPr>
              <w:t>HJ1216-2021</w:t>
            </w:r>
            <w:r>
              <w:rPr>
                <w:rFonts w:hint="eastAsia" w:ascii="仿宋" w:hAnsi="仿宋" w:eastAsia="仿宋" w:cs="仿宋"/>
                <w:i w:val="0"/>
                <w:iCs w:val="0"/>
                <w:color w:val="auto"/>
                <w:kern w:val="0"/>
                <w:sz w:val="20"/>
                <w:szCs w:val="20"/>
                <w:u w:val="none"/>
                <w:lang w:val="zh-CN" w:eastAsia="zh-CN"/>
              </w:rPr>
              <w:t>）</w:t>
            </w:r>
          </w:p>
          <w:p w14:paraId="180D1ADC">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《内陆水域浮游植物监测技术规程》（SL 733-2016）。</w:t>
            </w:r>
          </w:p>
          <w:p w14:paraId="3D793A76">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2.具备对浮游生物的沉降浓缩功能，每批次浓缩的样品不少于9个。</w:t>
            </w:r>
          </w:p>
          <w:p w14:paraId="1F092518">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3.操作员可根据自身实际需求设定浓缩时间，浓缩倍率。</w:t>
            </w:r>
          </w:p>
          <w:p w14:paraId="06C3BB54">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4.可触摸屏控制，液晶触摸屏不小于7寸。</w:t>
            </w:r>
          </w:p>
          <w:p w14:paraId="7A49AD3F">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5.具备即时浓缩功能，即对现有样品立即浓缩，不再等待预设时间。</w:t>
            </w:r>
          </w:p>
          <w:p w14:paraId="75F7A5F6">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6.具备样品容器自动清洗功能。</w:t>
            </w:r>
          </w:p>
          <w:p w14:paraId="3670D68C">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7.样品体积测量校准，可对已浓缩的样品二次测量校准体积，浓缩后体积测量误差&lt;3%。</w:t>
            </w:r>
          </w:p>
          <w:p w14:paraId="6D9FC068">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8.设备配置：</w:t>
            </w:r>
          </w:p>
          <w:p w14:paraId="5CD59435">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8.1自然沉降法浮游生物浓缩装置主机一台</w:t>
            </w:r>
          </w:p>
          <w:p w14:paraId="7D53E81E">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8.2浓缩瓶 一套</w:t>
            </w:r>
          </w:p>
          <w:p w14:paraId="1131B045">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8.3 专用大容量浓缩桶一套</w:t>
            </w:r>
          </w:p>
          <w:p w14:paraId="2E1512FD">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sz w:val="20"/>
                <w:szCs w:val="20"/>
              </w:rPr>
            </w:pPr>
            <w:r>
              <w:rPr>
                <w:rFonts w:hint="eastAsia" w:ascii="仿宋" w:hAnsi="仿宋" w:eastAsia="仿宋" w:cs="仿宋"/>
                <w:i w:val="0"/>
                <w:iCs w:val="0"/>
                <w:color w:val="auto"/>
                <w:kern w:val="0"/>
                <w:sz w:val="20"/>
                <w:szCs w:val="20"/>
                <w:u w:val="none"/>
                <w:lang w:val="en-US" w:eastAsia="zh-CN"/>
              </w:rPr>
              <w:t xml:space="preserve">9.售后服务：整机质保≥3年；提供免费上门安装调试、人员培训。  </w:t>
            </w:r>
          </w:p>
        </w:tc>
        <w:tc>
          <w:tcPr>
            <w:tcW w:w="417" w:type="dxa"/>
            <w:vAlign w:val="center"/>
          </w:tcPr>
          <w:p w14:paraId="751B1E60">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sz w:val="20"/>
                <w:szCs w:val="20"/>
              </w:rPr>
            </w:pPr>
            <w:r>
              <w:rPr>
                <w:rFonts w:hint="eastAsia" w:ascii="仿宋" w:hAnsi="仿宋" w:eastAsia="仿宋" w:cs="仿宋"/>
                <w:i w:val="0"/>
                <w:iCs w:val="0"/>
                <w:color w:val="auto"/>
                <w:kern w:val="0"/>
                <w:sz w:val="20"/>
                <w:szCs w:val="20"/>
                <w:u w:val="none"/>
                <w:lang w:val="en-US" w:eastAsia="zh-CN"/>
              </w:rPr>
              <w:t>套</w:t>
            </w:r>
          </w:p>
        </w:tc>
        <w:tc>
          <w:tcPr>
            <w:tcW w:w="417" w:type="dxa"/>
            <w:vAlign w:val="center"/>
          </w:tcPr>
          <w:p w14:paraId="1306A0DB">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sz w:val="20"/>
                <w:szCs w:val="20"/>
              </w:rPr>
            </w:pPr>
            <w:r>
              <w:rPr>
                <w:rFonts w:hint="eastAsia" w:ascii="仿宋" w:hAnsi="仿宋" w:eastAsia="仿宋" w:cs="仿宋"/>
                <w:i w:val="0"/>
                <w:iCs w:val="0"/>
                <w:color w:val="auto"/>
                <w:kern w:val="0"/>
                <w:sz w:val="20"/>
                <w:szCs w:val="20"/>
                <w:u w:val="none"/>
                <w:lang w:val="en-US" w:eastAsia="zh-CN"/>
              </w:rPr>
              <w:t>1</w:t>
            </w:r>
          </w:p>
        </w:tc>
        <w:tc>
          <w:tcPr>
            <w:tcW w:w="715" w:type="dxa"/>
            <w:vAlign w:val="center"/>
          </w:tcPr>
          <w:p w14:paraId="0463239B">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sz w:val="20"/>
                <w:szCs w:val="20"/>
                <w:lang w:eastAsia="zh-CN"/>
              </w:rPr>
            </w:pPr>
            <w:r>
              <w:rPr>
                <w:rFonts w:hint="eastAsia" w:ascii="仿宋" w:hAnsi="仿宋" w:eastAsia="仿宋" w:cs="仿宋"/>
                <w:i w:val="0"/>
                <w:iCs w:val="0"/>
                <w:color w:val="auto"/>
                <w:kern w:val="0"/>
                <w:sz w:val="20"/>
                <w:szCs w:val="20"/>
                <w:highlight w:val="none"/>
                <w:u w:val="none"/>
                <w:lang w:val="en-US" w:eastAsia="zh-CN"/>
              </w:rPr>
              <w:t>17</w:t>
            </w:r>
          </w:p>
        </w:tc>
        <w:tc>
          <w:tcPr>
            <w:tcW w:w="715" w:type="dxa"/>
            <w:vAlign w:val="center"/>
          </w:tcPr>
          <w:p w14:paraId="06D2DA17">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sz w:val="20"/>
                <w:szCs w:val="20"/>
                <w:lang w:eastAsia="zh-CN"/>
              </w:rPr>
            </w:pPr>
            <w:r>
              <w:rPr>
                <w:rFonts w:hint="eastAsia" w:ascii="仿宋" w:hAnsi="仿宋" w:eastAsia="仿宋" w:cs="仿宋"/>
                <w:i w:val="0"/>
                <w:iCs w:val="0"/>
                <w:color w:val="auto"/>
                <w:kern w:val="0"/>
                <w:sz w:val="20"/>
                <w:szCs w:val="20"/>
                <w:u w:val="none"/>
                <w:lang w:val="en-US" w:eastAsia="zh-CN"/>
              </w:rPr>
              <w:t>17</w:t>
            </w:r>
          </w:p>
        </w:tc>
      </w:tr>
      <w:tr w14:paraId="75BA7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244" w:type="pct"/>
            <w:vAlign w:val="center"/>
          </w:tcPr>
          <w:p w14:paraId="035FBE5F">
            <w:pPr>
              <w:jc w:val="center"/>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8</w:t>
            </w:r>
          </w:p>
        </w:tc>
        <w:tc>
          <w:tcPr>
            <w:tcW w:w="417" w:type="dxa"/>
            <w:vAlign w:val="center"/>
          </w:tcPr>
          <w:p w14:paraId="47F12FBF">
            <w:pPr>
              <w:jc w:val="center"/>
              <w:rPr>
                <w:rFonts w:hint="eastAsia" w:ascii="仿宋" w:hAnsi="仿宋" w:eastAsia="仿宋" w:cs="仿宋"/>
                <w:sz w:val="20"/>
                <w:szCs w:val="20"/>
              </w:rPr>
            </w:pPr>
            <w:r>
              <w:rPr>
                <w:rFonts w:hint="eastAsia" w:ascii="仿宋" w:hAnsi="仿宋" w:eastAsia="仿宋" w:cs="仿宋"/>
                <w:sz w:val="20"/>
                <w:szCs w:val="20"/>
                <w:lang w:val="en-US" w:eastAsia="zh-CN"/>
              </w:rPr>
              <w:t>水生生物定性定量</w:t>
            </w:r>
          </w:p>
        </w:tc>
        <w:tc>
          <w:tcPr>
            <w:tcW w:w="567" w:type="dxa"/>
            <w:vAlign w:val="center"/>
          </w:tcPr>
          <w:p w14:paraId="3DD48F24">
            <w:pPr>
              <w:jc w:val="center"/>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全自动浮游植物智能识别系统</w:t>
            </w:r>
          </w:p>
        </w:tc>
        <w:tc>
          <w:tcPr>
            <w:tcW w:w="4850" w:type="dxa"/>
            <w:vAlign w:val="center"/>
          </w:tcPr>
          <w:p w14:paraId="36ED0008">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highlight w:val="none"/>
                <w:u w:val="none"/>
                <w:lang w:val="en-US" w:eastAsia="zh-CN"/>
              </w:rPr>
            </w:pPr>
            <w:r>
              <w:rPr>
                <w:rFonts w:hint="eastAsia" w:ascii="仿宋" w:hAnsi="仿宋" w:eastAsia="仿宋" w:cs="仿宋"/>
                <w:i w:val="0"/>
                <w:iCs w:val="0"/>
                <w:color w:val="auto"/>
                <w:kern w:val="0"/>
                <w:sz w:val="20"/>
                <w:szCs w:val="20"/>
                <w:highlight w:val="none"/>
                <w:u w:val="none"/>
                <w:lang w:val="en-US" w:eastAsia="zh-CN"/>
              </w:rPr>
              <w:t>1.总体要求</w:t>
            </w:r>
          </w:p>
          <w:p w14:paraId="649970D0">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highlight w:val="none"/>
                <w:u w:val="none"/>
                <w:lang w:val="en-US" w:eastAsia="zh-CN"/>
              </w:rPr>
            </w:pPr>
            <w:r>
              <w:rPr>
                <w:rFonts w:hint="eastAsia" w:ascii="仿宋" w:hAnsi="仿宋" w:eastAsia="仿宋" w:cs="仿宋"/>
                <w:i w:val="0"/>
                <w:iCs w:val="0"/>
                <w:color w:val="auto"/>
                <w:kern w:val="0"/>
                <w:sz w:val="20"/>
                <w:szCs w:val="20"/>
                <w:highlight w:val="none"/>
                <w:u w:val="none"/>
                <w:lang w:val="en-US" w:eastAsia="zh-CN"/>
              </w:rPr>
              <w:t>符合《水和废水监测分析方法》（第四版增补版）第五篇《水和废水的生物监测方法》（2002年）、HJ 1216-2021《水质 浮游植物的测定0.1mL计数框-显微镜计数法》和《水生态监测技术要求 淡水浮游动物（试行）》的要求。</w:t>
            </w:r>
          </w:p>
          <w:p w14:paraId="4FCFF86B">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highlight w:val="none"/>
                <w:u w:val="none"/>
                <w:lang w:val="en-US" w:eastAsia="zh-CN"/>
              </w:rPr>
            </w:pPr>
            <w:r>
              <w:rPr>
                <w:rFonts w:hint="eastAsia" w:ascii="仿宋" w:hAnsi="仿宋" w:eastAsia="仿宋" w:cs="仿宋"/>
                <w:i w:val="0"/>
                <w:iCs w:val="0"/>
                <w:color w:val="auto"/>
                <w:kern w:val="0"/>
                <w:sz w:val="20"/>
                <w:szCs w:val="20"/>
                <w:highlight w:val="none"/>
                <w:u w:val="none"/>
                <w:lang w:val="en-US" w:eastAsia="zh-CN"/>
              </w:rPr>
              <w:t>2.参数要求</w:t>
            </w:r>
          </w:p>
          <w:p w14:paraId="0F8FCD53">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highlight w:val="none"/>
                <w:u w:val="none"/>
                <w:lang w:val="en-US" w:eastAsia="zh-CN"/>
              </w:rPr>
            </w:pPr>
            <w:r>
              <w:rPr>
                <w:rFonts w:hint="eastAsia" w:ascii="仿宋" w:hAnsi="仿宋" w:eastAsia="仿宋" w:cs="仿宋"/>
                <w:i w:val="0"/>
                <w:iCs w:val="0"/>
                <w:color w:val="auto"/>
                <w:kern w:val="0"/>
                <w:sz w:val="20"/>
                <w:szCs w:val="20"/>
                <w:highlight w:val="none"/>
                <w:u w:val="none"/>
                <w:lang w:val="en-US" w:eastAsia="zh-CN"/>
              </w:rPr>
              <w:t>2.1具备对浮游生物全自动化检测，全自动完成自动进样、自动对焦、自动切换视野、自动扫描水样、自动识别计数功能。</w:t>
            </w:r>
          </w:p>
          <w:p w14:paraId="708FD511">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highlight w:val="none"/>
                <w:u w:val="none"/>
                <w:lang w:val="en-US" w:eastAsia="zh-CN"/>
              </w:rPr>
            </w:pPr>
            <w:r>
              <w:rPr>
                <w:rFonts w:hint="eastAsia" w:ascii="仿宋" w:hAnsi="仿宋" w:eastAsia="仿宋" w:cs="仿宋"/>
                <w:i w:val="0"/>
                <w:iCs w:val="0"/>
                <w:color w:val="auto"/>
                <w:kern w:val="0"/>
                <w:sz w:val="20"/>
                <w:szCs w:val="20"/>
                <w:highlight w:val="none"/>
                <w:u w:val="none"/>
                <w:lang w:val="en-US" w:eastAsia="zh-CN"/>
              </w:rPr>
              <w:t>2.2仪器自带数据库可识别北方常见的170个以上分类的浮游植物、100个以上分类的浮游动物，数据库免费更新，仪器供应后每年应对西安主要河流进行至少两次采样并补充数据库工作。(提供承诺)</w:t>
            </w:r>
          </w:p>
          <w:p w14:paraId="40068386">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highlight w:val="none"/>
                <w:u w:val="none"/>
                <w:lang w:val="en-US" w:eastAsia="zh-CN"/>
              </w:rPr>
            </w:pPr>
            <w:r>
              <w:rPr>
                <w:rFonts w:hint="eastAsia" w:ascii="仿宋" w:hAnsi="仿宋" w:eastAsia="仿宋" w:cs="仿宋"/>
                <w:i w:val="0"/>
                <w:iCs w:val="0"/>
                <w:color w:val="auto"/>
                <w:kern w:val="0"/>
                <w:sz w:val="20"/>
                <w:szCs w:val="20"/>
                <w:highlight w:val="none"/>
                <w:u w:val="none"/>
                <w:lang w:val="en-US" w:eastAsia="zh-CN"/>
              </w:rPr>
              <w:t>▲2.3自动进样单元：具备自动摇匀样品、电动移液枪自动转移注射样品至载玻片功能。(提供实物照片佐证)</w:t>
            </w:r>
          </w:p>
          <w:p w14:paraId="7A3399D1">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highlight w:val="none"/>
                <w:u w:val="none"/>
                <w:lang w:val="en-US" w:eastAsia="zh-CN"/>
              </w:rPr>
            </w:pPr>
            <w:r>
              <w:rPr>
                <w:rFonts w:hint="eastAsia" w:ascii="仿宋" w:hAnsi="仿宋" w:eastAsia="仿宋" w:cs="仿宋"/>
                <w:i w:val="0"/>
                <w:iCs w:val="0"/>
                <w:color w:val="auto"/>
                <w:kern w:val="0"/>
                <w:sz w:val="20"/>
                <w:szCs w:val="20"/>
                <w:highlight w:val="none"/>
                <w:u w:val="none"/>
                <w:lang w:val="en-US" w:eastAsia="zh-CN"/>
              </w:rPr>
              <w:t>▲2.4样品快速浓缩单元：采用切向流过滤技术(TFF)进行浮游生物样品快速浓缩，原液样品量1~2L，样品浓缩倍率（样品浓缩前体积与样品浓缩后体积比值）不少于10，可触摸屏控制，中空纤维管孔径&lt;0.3um，浓缩时长&lt;15min，浓缩后体积测量误差&lt;3%。(提供实物照片佐证)</w:t>
            </w:r>
          </w:p>
          <w:p w14:paraId="601DA3D7">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highlight w:val="none"/>
                <w:u w:val="none"/>
                <w:lang w:val="en-US" w:eastAsia="zh-CN"/>
              </w:rPr>
            </w:pPr>
            <w:r>
              <w:rPr>
                <w:rFonts w:hint="eastAsia" w:ascii="仿宋" w:hAnsi="仿宋" w:eastAsia="仿宋" w:cs="仿宋"/>
                <w:i w:val="0"/>
                <w:iCs w:val="0"/>
                <w:color w:val="auto"/>
                <w:kern w:val="0"/>
                <w:sz w:val="20"/>
                <w:szCs w:val="20"/>
                <w:highlight w:val="none"/>
                <w:u w:val="none"/>
                <w:lang w:val="en-US" w:eastAsia="zh-CN"/>
              </w:rPr>
              <w:t>▲2.5为了准确计算浮游生物的体积和生物量数值：(术语参照SC/T 9402-2010《淡水浮游生物调查技术规范》)</w:t>
            </w:r>
          </w:p>
          <w:p w14:paraId="7B5DC770">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highlight w:val="none"/>
                <w:u w:val="none"/>
                <w:lang w:val="en-US" w:eastAsia="zh-CN"/>
              </w:rPr>
            </w:pPr>
            <w:r>
              <w:rPr>
                <w:rFonts w:hint="eastAsia" w:ascii="仿宋" w:hAnsi="仿宋" w:eastAsia="仿宋" w:cs="仿宋"/>
                <w:i w:val="0"/>
                <w:iCs w:val="0"/>
                <w:color w:val="auto"/>
                <w:kern w:val="0"/>
                <w:sz w:val="20"/>
                <w:szCs w:val="20"/>
                <w:highlight w:val="none"/>
                <w:u w:val="none"/>
                <w:lang w:val="en-US" w:eastAsia="zh-CN"/>
              </w:rPr>
              <w:t>对于个体细胞为圆盘或圆柱体群体性蓝藻细胞藻类，系统应在在实时扫描检测样品时，以线段自动实时标记和实时显示当前视野范围内每个个体细胞的高、直径。(提供含有常见的假鱼腥藻属、尖头藻属、束丝藻属、颤藻四属蓝藻群体的水样实测样品软件截图佐证，并提供软件实测视频录像备查)。</w:t>
            </w:r>
          </w:p>
          <w:p w14:paraId="2D240752">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highlight w:val="none"/>
                <w:u w:val="none"/>
                <w:lang w:val="en-US" w:eastAsia="zh-CN"/>
              </w:rPr>
            </w:pPr>
            <w:r>
              <w:rPr>
                <w:rFonts w:hint="eastAsia" w:ascii="仿宋" w:hAnsi="仿宋" w:eastAsia="仿宋" w:cs="仿宋"/>
                <w:i w:val="0"/>
                <w:iCs w:val="0"/>
                <w:color w:val="auto"/>
                <w:kern w:val="0"/>
                <w:sz w:val="20"/>
                <w:szCs w:val="20"/>
                <w:highlight w:val="none"/>
                <w:u w:val="none"/>
                <w:lang w:val="en-US" w:eastAsia="zh-CN"/>
              </w:rPr>
              <w:t>▲2.6活体浮游生物识别功能：在自动镜检过程中，运动的浮游生物在不同焦平面位置不同，系统应可自动判断不同焦平面游动的浮游生物活体是否为同一浮游生物个体。(提供不同焦平面的同一个浮游生物运动时的实时检测过程软件录像截屏为证，录屏过程需体现实时扫描的不同位置，及检测去重过程。)</w:t>
            </w:r>
          </w:p>
          <w:p w14:paraId="15BFE1AF">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highlight w:val="none"/>
                <w:u w:val="none"/>
                <w:lang w:val="en-US" w:eastAsia="zh-CN"/>
              </w:rPr>
            </w:pPr>
            <w:r>
              <w:rPr>
                <w:rFonts w:hint="eastAsia" w:ascii="仿宋" w:hAnsi="仿宋" w:eastAsia="仿宋" w:cs="仿宋"/>
                <w:i w:val="0"/>
                <w:iCs w:val="0"/>
                <w:color w:val="auto"/>
                <w:kern w:val="0"/>
                <w:sz w:val="20"/>
                <w:szCs w:val="20"/>
                <w:highlight w:val="none"/>
                <w:u w:val="none"/>
                <w:lang w:val="en-US" w:eastAsia="zh-CN"/>
              </w:rPr>
              <w:t>2.7对于倾斜藻类检测时应采用倾斜框体标注(检测框体边与图像的边不平行，提供不少于50属的藻类检测结果图像佐证)。</w:t>
            </w:r>
          </w:p>
          <w:p w14:paraId="3243C82F">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highlight w:val="none"/>
                <w:u w:val="none"/>
                <w:lang w:val="en-US" w:eastAsia="zh-CN"/>
              </w:rPr>
            </w:pPr>
            <w:r>
              <w:rPr>
                <w:rFonts w:hint="eastAsia" w:ascii="仿宋" w:hAnsi="仿宋" w:eastAsia="仿宋" w:cs="仿宋"/>
                <w:i w:val="0"/>
                <w:iCs w:val="0"/>
                <w:color w:val="auto"/>
                <w:kern w:val="0"/>
                <w:sz w:val="20"/>
                <w:szCs w:val="20"/>
                <w:highlight w:val="none"/>
                <w:u w:val="none"/>
                <w:lang w:val="en-US" w:eastAsia="zh-CN"/>
              </w:rPr>
              <w:t>2.8结果和数据查询：具备综合分析与结果输出功能，可自动计算香农—威纳指数、丰富度指数、密度、生物量、Simpson指数，支持图形化显示与数据导出功能。</w:t>
            </w:r>
          </w:p>
          <w:p w14:paraId="062E7C45">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highlight w:val="none"/>
                <w:u w:val="none"/>
                <w:lang w:val="en-US" w:eastAsia="zh-CN"/>
              </w:rPr>
            </w:pPr>
            <w:r>
              <w:rPr>
                <w:rFonts w:hint="eastAsia" w:ascii="仿宋" w:hAnsi="仿宋" w:eastAsia="仿宋" w:cs="仿宋"/>
                <w:i w:val="0"/>
                <w:iCs w:val="0"/>
                <w:color w:val="auto"/>
                <w:kern w:val="0"/>
                <w:sz w:val="20"/>
                <w:szCs w:val="20"/>
                <w:highlight w:val="none"/>
                <w:u w:val="none"/>
                <w:lang w:val="en-US" w:eastAsia="zh-CN"/>
              </w:rPr>
              <w:t>★2.9上样后一键对焦检测，检测浮游动物时，自动切换10倍物镜检测轮虫，自动切换4倍物镜检测枝角类、桡足类浮游动物。检测藻类应按国标自动切换40倍物镜扫描分析检测。</w:t>
            </w:r>
          </w:p>
          <w:p w14:paraId="022778EE">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highlight w:val="none"/>
                <w:u w:val="none"/>
                <w:lang w:val="en-US" w:eastAsia="zh-CN"/>
              </w:rPr>
            </w:pPr>
            <w:r>
              <w:rPr>
                <w:rFonts w:hint="eastAsia" w:ascii="仿宋" w:hAnsi="仿宋" w:eastAsia="仿宋" w:cs="仿宋"/>
                <w:i w:val="0"/>
                <w:iCs w:val="0"/>
                <w:color w:val="auto"/>
                <w:kern w:val="0"/>
                <w:sz w:val="20"/>
                <w:szCs w:val="20"/>
                <w:highlight w:val="none"/>
                <w:u w:val="none"/>
                <w:lang w:val="en-US" w:eastAsia="zh-CN"/>
              </w:rPr>
              <w:t>2.10数据校验：完成样品分析后，用户可查看、修正和导出数据。可增加、删减、修改识别物种信息，更新样品分析结果，可测量生物尺寸(附软件截图加盖公章佐证)。</w:t>
            </w:r>
          </w:p>
          <w:p w14:paraId="2E102660">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highlight w:val="none"/>
                <w:u w:val="none"/>
                <w:lang w:val="en-US" w:eastAsia="zh-CN"/>
              </w:rPr>
            </w:pPr>
            <w:r>
              <w:rPr>
                <w:rFonts w:hint="eastAsia" w:ascii="仿宋" w:hAnsi="仿宋" w:eastAsia="仿宋" w:cs="仿宋"/>
                <w:i w:val="0"/>
                <w:iCs w:val="0"/>
                <w:color w:val="auto"/>
                <w:kern w:val="0"/>
                <w:sz w:val="20"/>
                <w:szCs w:val="20"/>
                <w:highlight w:val="none"/>
                <w:u w:val="none"/>
                <w:lang w:val="en-US" w:eastAsia="zh-CN"/>
              </w:rPr>
              <w:t>2.11地图标记：可根据采集地地理坐标在地图上定位及标注，可在地图上查看采样点分布并点击采样点直接打开查看样品数据。</w:t>
            </w:r>
          </w:p>
          <w:p w14:paraId="5A4CB745">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highlight w:val="none"/>
                <w:u w:val="none"/>
                <w:lang w:val="en-US" w:eastAsia="zh-CN"/>
              </w:rPr>
            </w:pPr>
            <w:r>
              <w:rPr>
                <w:rFonts w:hint="eastAsia" w:ascii="仿宋" w:hAnsi="仿宋" w:eastAsia="仿宋" w:cs="仿宋"/>
                <w:i w:val="0"/>
                <w:iCs w:val="0"/>
                <w:color w:val="auto"/>
                <w:kern w:val="0"/>
                <w:sz w:val="20"/>
                <w:szCs w:val="20"/>
                <w:highlight w:val="none"/>
                <w:u w:val="none"/>
                <w:lang w:val="en-US" w:eastAsia="zh-CN"/>
              </w:rPr>
              <w:t>2.12样品检测速度：水样多景深扫描+自动识别分析时间≤15 分钟(100个视野，每个视野有效检测图像5张以上，附软件截图加盖公章佐证)。</w:t>
            </w:r>
          </w:p>
          <w:p w14:paraId="2F874B5C">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highlight w:val="none"/>
                <w:u w:val="none"/>
                <w:lang w:val="en-US" w:eastAsia="zh-CN"/>
              </w:rPr>
            </w:pPr>
            <w:r>
              <w:rPr>
                <w:rFonts w:hint="eastAsia" w:ascii="仿宋" w:hAnsi="仿宋" w:eastAsia="仿宋" w:cs="仿宋"/>
                <w:i w:val="0"/>
                <w:iCs w:val="0"/>
                <w:color w:val="auto"/>
                <w:kern w:val="0"/>
                <w:sz w:val="20"/>
                <w:szCs w:val="20"/>
                <w:highlight w:val="none"/>
                <w:u w:val="none"/>
                <w:lang w:val="en-US" w:eastAsia="zh-CN"/>
              </w:rPr>
              <w:t>▲2.13每次批量检测样品个数不少于8个(提供实物照片佐证)。</w:t>
            </w:r>
          </w:p>
          <w:p w14:paraId="1AAC7884">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highlight w:val="none"/>
                <w:u w:val="none"/>
                <w:lang w:val="en-US" w:eastAsia="zh-CN"/>
              </w:rPr>
            </w:pPr>
            <w:r>
              <w:rPr>
                <w:rFonts w:hint="eastAsia" w:ascii="仿宋" w:hAnsi="仿宋" w:eastAsia="仿宋" w:cs="仿宋"/>
                <w:i w:val="0"/>
                <w:iCs w:val="0"/>
                <w:color w:val="auto"/>
                <w:kern w:val="0"/>
                <w:sz w:val="20"/>
                <w:szCs w:val="20"/>
                <w:highlight w:val="none"/>
                <w:u w:val="none"/>
                <w:lang w:val="en-US" w:eastAsia="zh-CN"/>
              </w:rPr>
              <w:t>2.14多景深自动扫描：具备多景深连续自动扫描功能，获取不同液层位置上生物对焦清晰的显微图像。</w:t>
            </w:r>
          </w:p>
          <w:p w14:paraId="091D0391">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highlight w:val="none"/>
                <w:u w:val="none"/>
                <w:lang w:val="en-US" w:eastAsia="zh-CN"/>
              </w:rPr>
            </w:pPr>
            <w:r>
              <w:rPr>
                <w:rFonts w:hint="eastAsia" w:ascii="仿宋" w:hAnsi="仿宋" w:eastAsia="仿宋" w:cs="仿宋"/>
                <w:i w:val="0"/>
                <w:iCs w:val="0"/>
                <w:color w:val="auto"/>
                <w:kern w:val="0"/>
                <w:sz w:val="20"/>
                <w:szCs w:val="20"/>
                <w:highlight w:val="none"/>
                <w:u w:val="none"/>
                <w:lang w:val="en-US" w:eastAsia="zh-CN"/>
              </w:rPr>
              <w:t>2.15软件提供藻类标准电子图谱，并按门纲目属种分列。</w:t>
            </w:r>
          </w:p>
          <w:p w14:paraId="544C1491">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000000" w:themeColor="text1"/>
                <w:kern w:val="0"/>
                <w:sz w:val="20"/>
                <w:szCs w:val="20"/>
                <w:highlight w:val="none"/>
                <w:u w:val="none"/>
                <w:lang w:val="en-US" w:eastAsia="zh-CN"/>
                <w14:textFill>
                  <w14:solidFill>
                    <w14:schemeClr w14:val="tx1"/>
                  </w14:solidFill>
                </w14:textFill>
              </w:rPr>
            </w:pPr>
            <w:r>
              <w:rPr>
                <w:rFonts w:hint="eastAsia" w:ascii="仿宋" w:hAnsi="仿宋" w:eastAsia="仿宋" w:cs="仿宋"/>
                <w:i w:val="0"/>
                <w:iCs w:val="0"/>
                <w:color w:val="auto"/>
                <w:kern w:val="0"/>
                <w:sz w:val="20"/>
                <w:szCs w:val="20"/>
                <w:highlight w:val="none"/>
                <w:u w:val="none"/>
                <w:lang w:val="en-US" w:eastAsia="zh-CN"/>
              </w:rPr>
              <w:t>2.16计数方式：全片法、随机视野法、对角线法、行</w:t>
            </w:r>
            <w:r>
              <w:rPr>
                <w:rFonts w:hint="eastAsia" w:ascii="仿宋" w:hAnsi="仿宋" w:eastAsia="仿宋" w:cs="仿宋"/>
                <w:i w:val="0"/>
                <w:iCs w:val="0"/>
                <w:color w:val="000000" w:themeColor="text1"/>
                <w:kern w:val="0"/>
                <w:sz w:val="20"/>
                <w:szCs w:val="20"/>
                <w:highlight w:val="none"/>
                <w:u w:val="none"/>
                <w:lang w:val="en-US" w:eastAsia="zh-CN"/>
                <w14:textFill>
                  <w14:solidFill>
                    <w14:schemeClr w14:val="tx1"/>
                  </w14:solidFill>
                </w14:textFill>
              </w:rPr>
              <w:t>格法。</w:t>
            </w:r>
          </w:p>
          <w:p w14:paraId="3FC07C92">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000000" w:themeColor="text1"/>
                <w:kern w:val="0"/>
                <w:sz w:val="20"/>
                <w:szCs w:val="20"/>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kern w:val="0"/>
                <w:sz w:val="20"/>
                <w:szCs w:val="20"/>
                <w:highlight w:val="none"/>
                <w:u w:val="none"/>
                <w:lang w:val="en-US" w:eastAsia="zh-CN"/>
                <w14:textFill>
                  <w14:solidFill>
                    <w14:schemeClr w14:val="tx1"/>
                  </w14:solidFill>
                </w14:textFill>
              </w:rPr>
              <w:t>3设备配置</w:t>
            </w:r>
          </w:p>
          <w:p w14:paraId="7ED35218">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000000" w:themeColor="text1"/>
                <w:kern w:val="0"/>
                <w:sz w:val="20"/>
                <w:szCs w:val="20"/>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kern w:val="0"/>
                <w:sz w:val="20"/>
                <w:szCs w:val="20"/>
                <w:highlight w:val="none"/>
                <w:u w:val="none"/>
                <w:lang w:val="en-US" w:eastAsia="zh-CN"/>
                <w14:textFill>
                  <w14:solidFill>
                    <w14:schemeClr w14:val="tx1"/>
                  </w14:solidFill>
                </w14:textFill>
              </w:rPr>
              <w:t>3.1工作站1台：</w:t>
            </w:r>
            <w:r>
              <w:rPr>
                <w:rFonts w:hint="eastAsia" w:ascii="仿宋" w:hAnsi="仿宋" w:eastAsia="仿宋" w:cs="仿宋"/>
                <w:i w:val="0"/>
                <w:iCs w:val="0"/>
                <w:color w:val="000000" w:themeColor="text1"/>
                <w:kern w:val="0"/>
                <w:sz w:val="20"/>
                <w:szCs w:val="20"/>
                <w:u w:val="none"/>
                <w:lang w:val="en-US" w:eastAsia="zh-CN"/>
                <w14:textFill>
                  <w14:solidFill>
                    <w14:schemeClr w14:val="tx1"/>
                  </w14:solidFill>
                </w14:textFill>
              </w:rPr>
              <w:t>8G显存显卡，16GB内存，4TB硬盘</w:t>
            </w:r>
            <w:r>
              <w:rPr>
                <w:rFonts w:hint="eastAsia" w:ascii="仿宋" w:hAnsi="仿宋" w:eastAsia="仿宋" w:cs="仿宋"/>
                <w:i w:val="0"/>
                <w:iCs w:val="0"/>
                <w:color w:val="000000" w:themeColor="text1"/>
                <w:kern w:val="0"/>
                <w:sz w:val="20"/>
                <w:szCs w:val="20"/>
                <w:highlight w:val="none"/>
                <w:u w:val="none"/>
                <w:lang w:val="en-US" w:eastAsia="zh-CN"/>
                <w14:textFill>
                  <w14:solidFill>
                    <w14:schemeClr w14:val="tx1"/>
                  </w14:solidFill>
                </w14:textFill>
              </w:rPr>
              <w:t>，高性能激光双面彩色打印机1台，可自动双面打印。</w:t>
            </w:r>
          </w:p>
          <w:p w14:paraId="0EA90837">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highlight w:val="none"/>
                <w:u w:val="none"/>
                <w:lang w:val="en-US" w:eastAsia="zh-CN"/>
              </w:rPr>
            </w:pPr>
            <w:r>
              <w:rPr>
                <w:rFonts w:hint="eastAsia" w:ascii="仿宋" w:hAnsi="仿宋" w:eastAsia="仿宋" w:cs="仿宋"/>
                <w:i w:val="0"/>
                <w:iCs w:val="0"/>
                <w:color w:val="auto"/>
                <w:kern w:val="0"/>
                <w:sz w:val="20"/>
                <w:szCs w:val="20"/>
                <w:highlight w:val="none"/>
                <w:u w:val="none"/>
                <w:lang w:val="en-US" w:eastAsia="zh-CN"/>
              </w:rPr>
              <w:t>3.2自动进样单元1套：配置不低于：8孔位进样器、电动注射器、转移机械轴件一组。</w:t>
            </w:r>
          </w:p>
          <w:p w14:paraId="2710E320">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highlight w:val="none"/>
                <w:u w:val="none"/>
                <w:lang w:val="en-US" w:eastAsia="zh-CN"/>
              </w:rPr>
            </w:pPr>
            <w:r>
              <w:rPr>
                <w:rFonts w:hint="eastAsia" w:ascii="仿宋" w:hAnsi="仿宋" w:eastAsia="仿宋" w:cs="仿宋"/>
                <w:i w:val="0"/>
                <w:iCs w:val="0"/>
                <w:color w:val="auto"/>
                <w:kern w:val="0"/>
                <w:sz w:val="20"/>
                <w:szCs w:val="20"/>
                <w:highlight w:val="none"/>
                <w:u w:val="none"/>
                <w:lang w:val="en-US" w:eastAsia="zh-CN"/>
              </w:rPr>
              <w:t>3.3样品快速浓缩单元1套：</w:t>
            </w:r>
          </w:p>
          <w:p w14:paraId="23AC4B1F">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highlight w:val="none"/>
                <w:u w:val="none"/>
                <w:lang w:val="en-US" w:eastAsia="zh-CN"/>
              </w:rPr>
            </w:pPr>
            <w:r>
              <w:rPr>
                <w:rFonts w:hint="eastAsia" w:ascii="仿宋" w:hAnsi="仿宋" w:eastAsia="仿宋" w:cs="仿宋"/>
                <w:i w:val="0"/>
                <w:iCs w:val="0"/>
                <w:color w:val="auto"/>
                <w:kern w:val="0"/>
                <w:sz w:val="20"/>
                <w:szCs w:val="20"/>
                <w:highlight w:val="none"/>
                <w:u w:val="none"/>
                <w:lang w:val="en-US" w:eastAsia="zh-CN"/>
              </w:rPr>
              <w:t>配置不低于：7寸液晶可触摸控制屏幕，中空纤维管三套孔径&lt;0.3um，水路一组。</w:t>
            </w:r>
          </w:p>
          <w:p w14:paraId="53CD33DC">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highlight w:val="none"/>
                <w:u w:val="none"/>
                <w:lang w:val="en-US" w:eastAsia="zh-CN"/>
              </w:rPr>
            </w:pPr>
            <w:r>
              <w:rPr>
                <w:rFonts w:hint="eastAsia" w:ascii="仿宋" w:hAnsi="仿宋" w:eastAsia="仿宋" w:cs="仿宋"/>
                <w:i w:val="0"/>
                <w:iCs w:val="0"/>
                <w:color w:val="auto"/>
                <w:kern w:val="0"/>
                <w:sz w:val="20"/>
                <w:szCs w:val="20"/>
                <w:highlight w:val="none"/>
                <w:u w:val="none"/>
                <w:lang w:val="en-US" w:eastAsia="zh-CN"/>
              </w:rPr>
              <w:t>3.4浮游生物自动识别软件1套：免费更新5年，每季度更新1次以上</w:t>
            </w:r>
          </w:p>
          <w:p w14:paraId="3F5EE580">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highlight w:val="none"/>
                <w:u w:val="none"/>
                <w:lang w:val="en-US" w:eastAsia="zh-CN"/>
              </w:rPr>
            </w:pPr>
            <w:r>
              <w:rPr>
                <w:rFonts w:hint="eastAsia" w:ascii="仿宋" w:hAnsi="仿宋" w:eastAsia="仿宋" w:cs="仿宋"/>
                <w:i w:val="0"/>
                <w:iCs w:val="0"/>
                <w:color w:val="auto"/>
                <w:kern w:val="0"/>
                <w:sz w:val="20"/>
                <w:szCs w:val="20"/>
                <w:highlight w:val="none"/>
                <w:u w:val="none"/>
                <w:lang w:val="en-US" w:eastAsia="zh-CN"/>
              </w:rPr>
              <w:t>3.5浮游生物自动识别主机1套：</w:t>
            </w:r>
          </w:p>
          <w:p w14:paraId="25DEA2D1">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highlight w:val="none"/>
                <w:u w:val="none"/>
                <w:lang w:val="en-US" w:eastAsia="zh-CN"/>
              </w:rPr>
            </w:pPr>
            <w:r>
              <w:rPr>
                <w:rFonts w:hint="eastAsia" w:ascii="仿宋" w:hAnsi="仿宋" w:eastAsia="仿宋" w:cs="仿宋"/>
                <w:i w:val="0"/>
                <w:iCs w:val="0"/>
                <w:color w:val="auto"/>
                <w:kern w:val="0"/>
                <w:sz w:val="20"/>
                <w:szCs w:val="20"/>
                <w:highlight w:val="none"/>
                <w:u w:val="none"/>
                <w:lang w:val="en-US" w:eastAsia="zh-CN"/>
              </w:rPr>
              <w:t>配置不低于：生物级全自动显微镜，6孔自动转盘、4X、10X、40X物镜，平台精度±1um，图像采集模块像素&gt;2500万。</w:t>
            </w:r>
          </w:p>
          <w:p w14:paraId="4D08C03A">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highlight w:val="none"/>
                <w:u w:val="none"/>
                <w:lang w:val="en-US" w:eastAsia="zh-CN"/>
              </w:rPr>
            </w:pPr>
            <w:r>
              <w:rPr>
                <w:rFonts w:hint="eastAsia" w:ascii="仿宋" w:hAnsi="仿宋" w:eastAsia="仿宋" w:cs="仿宋"/>
                <w:i w:val="0"/>
                <w:iCs w:val="0"/>
                <w:color w:val="auto"/>
                <w:kern w:val="0"/>
                <w:sz w:val="20"/>
                <w:szCs w:val="20"/>
                <w:highlight w:val="none"/>
                <w:u w:val="none"/>
                <w:lang w:val="en-US" w:eastAsia="zh-CN"/>
              </w:rPr>
              <w:t>3.6耗材1套：</w:t>
            </w:r>
          </w:p>
          <w:p w14:paraId="23ACF47F">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highlight w:val="none"/>
                <w:u w:val="none"/>
                <w:lang w:val="en-US" w:eastAsia="zh-CN"/>
              </w:rPr>
            </w:pPr>
            <w:r>
              <w:rPr>
                <w:rFonts w:hint="eastAsia" w:ascii="仿宋" w:hAnsi="仿宋" w:eastAsia="仿宋" w:cs="仿宋"/>
                <w:i w:val="0"/>
                <w:iCs w:val="0"/>
                <w:color w:val="auto"/>
                <w:kern w:val="0"/>
                <w:sz w:val="20"/>
                <w:szCs w:val="20"/>
                <w:highlight w:val="none"/>
                <w:u w:val="none"/>
                <w:lang w:val="en-US" w:eastAsia="zh-CN"/>
              </w:rPr>
              <w:t>可重复使用载玻片1套(含0.1ml、1ml、5ml三种国标容量)、一次性使用载玻片50个。</w:t>
            </w:r>
          </w:p>
          <w:p w14:paraId="3DB9EDC1">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sz w:val="20"/>
                <w:szCs w:val="20"/>
              </w:rPr>
            </w:pPr>
            <w:r>
              <w:rPr>
                <w:rFonts w:hint="eastAsia" w:ascii="仿宋" w:hAnsi="仿宋" w:eastAsia="仿宋" w:cs="仿宋"/>
                <w:i w:val="0"/>
                <w:iCs w:val="0"/>
                <w:color w:val="auto"/>
                <w:kern w:val="0"/>
                <w:sz w:val="20"/>
                <w:szCs w:val="20"/>
                <w:u w:val="none"/>
                <w:lang w:val="en-US" w:eastAsia="zh-CN"/>
              </w:rPr>
              <w:t xml:space="preserve">4.售后服务：整机质保≥3年；提供免费上门安装调试、人员培训。  </w:t>
            </w:r>
          </w:p>
        </w:tc>
        <w:tc>
          <w:tcPr>
            <w:tcW w:w="417" w:type="dxa"/>
            <w:vAlign w:val="center"/>
          </w:tcPr>
          <w:p w14:paraId="2ED8F498">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sz w:val="20"/>
                <w:szCs w:val="20"/>
              </w:rPr>
            </w:pPr>
            <w:r>
              <w:rPr>
                <w:rFonts w:hint="eastAsia" w:ascii="仿宋" w:hAnsi="仿宋" w:eastAsia="仿宋" w:cs="仿宋"/>
                <w:i w:val="0"/>
                <w:iCs w:val="0"/>
                <w:color w:val="auto"/>
                <w:kern w:val="0"/>
                <w:sz w:val="20"/>
                <w:szCs w:val="20"/>
                <w:highlight w:val="none"/>
                <w:u w:val="none"/>
                <w:lang w:val="en-US" w:eastAsia="zh-CN"/>
              </w:rPr>
              <w:t>套</w:t>
            </w:r>
          </w:p>
        </w:tc>
        <w:tc>
          <w:tcPr>
            <w:tcW w:w="417" w:type="dxa"/>
            <w:vAlign w:val="center"/>
          </w:tcPr>
          <w:p w14:paraId="3478D4D7">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sz w:val="20"/>
                <w:szCs w:val="20"/>
              </w:rPr>
            </w:pPr>
            <w:r>
              <w:rPr>
                <w:rFonts w:hint="eastAsia" w:ascii="仿宋" w:hAnsi="仿宋" w:eastAsia="仿宋" w:cs="仿宋"/>
                <w:i w:val="0"/>
                <w:iCs w:val="0"/>
                <w:color w:val="auto"/>
                <w:kern w:val="0"/>
                <w:sz w:val="20"/>
                <w:szCs w:val="20"/>
                <w:highlight w:val="none"/>
                <w:u w:val="none"/>
                <w:lang w:val="en-US" w:eastAsia="zh-CN"/>
              </w:rPr>
              <w:t>1</w:t>
            </w:r>
          </w:p>
        </w:tc>
        <w:tc>
          <w:tcPr>
            <w:tcW w:w="715" w:type="dxa"/>
            <w:vAlign w:val="center"/>
          </w:tcPr>
          <w:p w14:paraId="4115D5D2">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sz w:val="20"/>
                <w:szCs w:val="20"/>
                <w:lang w:eastAsia="zh-CN"/>
              </w:rPr>
            </w:pPr>
            <w:r>
              <w:rPr>
                <w:rFonts w:hint="eastAsia" w:ascii="仿宋" w:hAnsi="仿宋" w:eastAsia="仿宋" w:cs="仿宋"/>
                <w:i w:val="0"/>
                <w:iCs w:val="0"/>
                <w:color w:val="auto"/>
                <w:kern w:val="0"/>
                <w:sz w:val="20"/>
                <w:szCs w:val="20"/>
                <w:highlight w:val="none"/>
                <w:u w:val="none"/>
                <w:lang w:val="en-US" w:eastAsia="zh-CN"/>
              </w:rPr>
              <w:t>105</w:t>
            </w:r>
          </w:p>
        </w:tc>
        <w:tc>
          <w:tcPr>
            <w:tcW w:w="715" w:type="dxa"/>
            <w:vAlign w:val="center"/>
          </w:tcPr>
          <w:p w14:paraId="282CCAAE">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sz w:val="20"/>
                <w:szCs w:val="20"/>
                <w:lang w:eastAsia="zh-CN"/>
              </w:rPr>
            </w:pPr>
            <w:r>
              <w:rPr>
                <w:rFonts w:hint="eastAsia" w:ascii="仿宋" w:hAnsi="仿宋" w:eastAsia="仿宋" w:cs="仿宋"/>
                <w:i w:val="0"/>
                <w:iCs w:val="0"/>
                <w:color w:val="auto"/>
                <w:kern w:val="0"/>
                <w:sz w:val="20"/>
                <w:szCs w:val="20"/>
                <w:u w:val="none"/>
                <w:lang w:val="en-US" w:eastAsia="zh-CN"/>
              </w:rPr>
              <w:t>105</w:t>
            </w:r>
          </w:p>
        </w:tc>
      </w:tr>
      <w:tr w14:paraId="72001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244" w:type="pct"/>
            <w:vAlign w:val="center"/>
          </w:tcPr>
          <w:p w14:paraId="46605534">
            <w:pPr>
              <w:jc w:val="center"/>
              <w:rPr>
                <w:rFonts w:hint="default" w:ascii="仿宋" w:hAnsi="仿宋" w:eastAsia="仿宋" w:cs="仿宋"/>
                <w:sz w:val="20"/>
                <w:szCs w:val="20"/>
                <w:lang w:val="en-US" w:eastAsia="zh-CN"/>
              </w:rPr>
            </w:pPr>
            <w:r>
              <w:rPr>
                <w:rFonts w:hint="eastAsia" w:ascii="仿宋" w:hAnsi="仿宋" w:eastAsia="仿宋" w:cs="仿宋"/>
                <w:sz w:val="20"/>
                <w:szCs w:val="20"/>
                <w:lang w:val="en-US" w:eastAsia="zh-CN"/>
              </w:rPr>
              <w:t>9</w:t>
            </w:r>
          </w:p>
        </w:tc>
        <w:tc>
          <w:tcPr>
            <w:tcW w:w="417" w:type="dxa"/>
            <w:vAlign w:val="center"/>
          </w:tcPr>
          <w:p w14:paraId="02097D25">
            <w:pPr>
              <w:jc w:val="center"/>
              <w:rPr>
                <w:rFonts w:hint="eastAsia" w:ascii="仿宋" w:hAnsi="仿宋" w:eastAsia="仿宋" w:cs="仿宋"/>
                <w:sz w:val="20"/>
                <w:szCs w:val="20"/>
              </w:rPr>
            </w:pPr>
            <w:r>
              <w:rPr>
                <w:rFonts w:hint="eastAsia" w:ascii="仿宋" w:hAnsi="仿宋" w:eastAsia="仿宋" w:cs="仿宋"/>
                <w:sz w:val="20"/>
                <w:szCs w:val="20"/>
                <w:lang w:val="en-US" w:eastAsia="zh-CN"/>
              </w:rPr>
              <w:t>藻类水华异味物质监测</w:t>
            </w:r>
          </w:p>
        </w:tc>
        <w:tc>
          <w:tcPr>
            <w:tcW w:w="567" w:type="dxa"/>
            <w:vAlign w:val="center"/>
          </w:tcPr>
          <w:p w14:paraId="04032BBA">
            <w:pPr>
              <w:jc w:val="center"/>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气相色谱-三重四极杆质谱联用仪</w:t>
            </w:r>
            <w:r>
              <w:rPr>
                <w:rFonts w:hint="eastAsia" w:ascii="仿宋" w:hAnsi="仿宋" w:eastAsia="仿宋" w:cs="仿宋"/>
                <w:b/>
                <w:bCs/>
                <w:sz w:val="20"/>
                <w:szCs w:val="20"/>
                <w:lang w:val="en-US" w:eastAsia="zh-CN"/>
              </w:rPr>
              <w:t>（核心产品）</w:t>
            </w:r>
          </w:p>
        </w:tc>
        <w:tc>
          <w:tcPr>
            <w:tcW w:w="4850" w:type="dxa"/>
            <w:vAlign w:val="center"/>
          </w:tcPr>
          <w:p w14:paraId="620E0299">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1.工作条件</w:t>
            </w:r>
          </w:p>
          <w:p w14:paraId="58884FD5">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1.1 电源:220V，50Hz</w:t>
            </w:r>
          </w:p>
          <w:p w14:paraId="27450D95">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1.2 温度范围:操作环境15℃-35℃</w:t>
            </w:r>
          </w:p>
          <w:p w14:paraId="23B1AB83">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 xml:space="preserve">1.3 湿度范围: 40-80% </w:t>
            </w:r>
          </w:p>
          <w:p w14:paraId="3B0965FD">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2.性能指标</w:t>
            </w:r>
          </w:p>
          <w:p w14:paraId="679BF6FF">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2.1 气相色谱仪</w:t>
            </w:r>
          </w:p>
          <w:p w14:paraId="07374638">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2.1.1 柱温箱</w:t>
            </w:r>
            <w:r>
              <w:rPr>
                <w:rFonts w:hint="eastAsia" w:ascii="仿宋" w:hAnsi="仿宋" w:eastAsia="仿宋" w:cs="仿宋"/>
                <w:i w:val="0"/>
                <w:iCs w:val="0"/>
                <w:color w:val="auto"/>
                <w:kern w:val="0"/>
                <w:sz w:val="20"/>
                <w:szCs w:val="20"/>
                <w:u w:val="none"/>
                <w:lang w:val="en-US" w:eastAsia="zh-CN"/>
              </w:rPr>
              <w:tab/>
            </w:r>
          </w:p>
          <w:p w14:paraId="50447E78">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2.1.1.1 柱箱温度：室温上5℃-450 ℃，不低于19梯度/20平台程序升温</w:t>
            </w:r>
          </w:p>
          <w:p w14:paraId="49452B54">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 xml:space="preserve">2.1.1.2 升温速率：最大升温速度120℃/min </w:t>
            </w:r>
          </w:p>
          <w:p w14:paraId="6DDC0CB7">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 xml:space="preserve">2.1.1.3 降温速率：从450℃降至50℃&lt;4分钟 </w:t>
            </w:r>
          </w:p>
          <w:p w14:paraId="45F39F04">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 xml:space="preserve">2.1.1.4 温度设定精度：0.1℃ </w:t>
            </w:r>
          </w:p>
          <w:p w14:paraId="38F311C8">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2.1.1.5 温度波动（稳定性）: ＜0.01℃ /1℃环境变化</w:t>
            </w:r>
          </w:p>
          <w:p w14:paraId="6967CF23">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2.1.2 分流不分流进样口</w:t>
            </w:r>
          </w:p>
          <w:p w14:paraId="56A2A08C">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2.1.2.1 可编程设定压力、流速、分流比</w:t>
            </w:r>
          </w:p>
          <w:p w14:paraId="6A73B357">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▲2.1.2.2 分流比＞13000:1</w:t>
            </w:r>
          </w:p>
          <w:p w14:paraId="5B94B9FD">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2.1.2.3 压力设定范围：0-100psi, 控制精度0.001psi</w:t>
            </w:r>
          </w:p>
          <w:p w14:paraId="5433A7A0">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2.1.2.4 载气流量设定范围：0~500ml/min</w:t>
            </w:r>
          </w:p>
          <w:p w14:paraId="492542B4">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2.1.2.5 进样口惰性化要求：包括进样口流路及管线均采用化学惰性化处理</w:t>
            </w:r>
          </w:p>
          <w:p w14:paraId="514D8E7F">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2.1.2.6 维护便利性要求：具备扳转式密封系统，维护进样口或更换衬管可徒手操作，无需拆卸螺丝</w:t>
            </w:r>
          </w:p>
          <w:p w14:paraId="6C9AB3CD">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2.1.3 多模式进样口</w:t>
            </w:r>
          </w:p>
          <w:p w14:paraId="7F057698">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2.1.3.1 主要功能：可实现包括分流不分流进样功能，大体积进样功能、程序升温及冷却进样等功能</w:t>
            </w:r>
          </w:p>
          <w:p w14:paraId="6A08C932">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2.1.3.2 进样模式选择： 热分流/不分流进样；冷分流/不分流进样；脉冲分流/不分流进样；溶剂排空进样；直接进样</w:t>
            </w:r>
          </w:p>
          <w:p w14:paraId="5679B473">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2.1.3.3 温度控制：可采用空气冷却或液氮冷却两种模式</w:t>
            </w:r>
          </w:p>
          <w:p w14:paraId="78F3AC11">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▲2.1.3.4 最低温度范围：液氮制冷可低至-160 ℃，空气冷却可低至室温以上10 ℃</w:t>
            </w:r>
          </w:p>
          <w:p w14:paraId="272926E2">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2.1.3.5 进样口温度程序：最多可达10 个梯度，最高升温速率 900℃ /min</w:t>
            </w:r>
          </w:p>
          <w:p w14:paraId="3F7A71E8">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2.1.3.6 进样口最高温度：450℃</w:t>
            </w:r>
          </w:p>
          <w:p w14:paraId="4106E9E3">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2.1.3.7 维护便利性要求：具备扳转式密封系统，维护进样口或更换衬管无需工具也无需拆卸螺丝</w:t>
            </w:r>
          </w:p>
          <w:p w14:paraId="43AB7188">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2.1.4 其他色谱性能要求</w:t>
            </w:r>
          </w:p>
          <w:p w14:paraId="30992AED">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2.1.4.1 气相主机具有高灵敏度的彩色电容触摸屏操作界面</w:t>
            </w:r>
          </w:p>
          <w:p w14:paraId="55D280E9">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2.1.4.2 有三种用户操作界面，即软件、彩色触摸屏和浏览器界面</w:t>
            </w:r>
          </w:p>
          <w:p w14:paraId="221FCA53">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2.1.4.3 彩色触摸屏上可以显示质谱参数，包括分子涡轮泵转速，离子源温度和真空状态等关键运行参数，便于及时了解仪器运行状态。</w:t>
            </w:r>
          </w:p>
          <w:p w14:paraId="7B5D06AB">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2.2 自动进样器</w:t>
            </w:r>
          </w:p>
          <w:p w14:paraId="5426CBAA">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2.2.1 自定位“即插即用”式，拆卸方便，便于进样口维护</w:t>
            </w:r>
          </w:p>
          <w:p w14:paraId="17DBAC9B">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▲2.2.2 快速注射技术，进样速度：＜100 毫秒</w:t>
            </w:r>
          </w:p>
          <w:p w14:paraId="33654345">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2.2.3 进样体积：0.01 μL-250.0 μL</w:t>
            </w:r>
          </w:p>
          <w:p w14:paraId="4511D8C7">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2.2.4 样品数量：≥16，后期可以扩展150位</w:t>
            </w:r>
          </w:p>
          <w:p w14:paraId="08D2B659">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2.2.5进样量线性：≥99%</w:t>
            </w:r>
          </w:p>
          <w:p w14:paraId="1646A97F">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2.2.6自动进样针可以自行调节进样深度，重叠进样，节省时间，提高效率</w:t>
            </w:r>
          </w:p>
          <w:p w14:paraId="1C10A2DD">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2.2.7具有自动稀释、柱前衍生和加热等扩展功能</w:t>
            </w:r>
          </w:p>
          <w:p w14:paraId="2EBE6A20">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2.3 质谱部分</w:t>
            </w:r>
          </w:p>
          <w:p w14:paraId="2EBF242C">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 xml:space="preserve">2.3.1 质量数范围：10-1000 m/z              </w:t>
            </w:r>
          </w:p>
          <w:p w14:paraId="40C77748">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▲2.3.2 仪器检测限指标及灵敏度（验收指标）：</w:t>
            </w:r>
          </w:p>
          <w:p w14:paraId="2D67D373">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仪器检测限指标(EI MRM IDL)小于3.5fg  （测试条件： 30m×0.25μm×0.25mm的-5MS 色谱柱，通过对 1 µL 2 fg/µL 的 OFN 标样 8 次连续不分流进样所得峰面积精密度在 99% 置信水平下统计得出，m/z 272 &amp; 222 处的 MS/MS 离子对驻留时间 100 毫秒。）</w:t>
            </w:r>
          </w:p>
          <w:p w14:paraId="1D10B858">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2.3.3 分辨率：0.4~4amu分辨可调 。</w:t>
            </w:r>
          </w:p>
          <w:p w14:paraId="4E0C0EAA">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▲2.3.4 碰撞池具有氦气消除功能，可有效消除载气氦气所带来的背景噪音干扰，氦气消除气体流量范围在0~5.0 ml/min可调</w:t>
            </w:r>
          </w:p>
          <w:p w14:paraId="449FCB90">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 xml:space="preserve">2.3.5 扫描速率：最大800个MRM/秒，最小SRM扫描时间：0.5ms </w:t>
            </w:r>
          </w:p>
          <w:p w14:paraId="6B66D925">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▲2.3.6 最大离子化能量：不低于280eV</w:t>
            </w:r>
          </w:p>
          <w:p w14:paraId="6A90ADDB">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 xml:space="preserve">2.3.7 离子源类型: EI离子源，离子源可独立控温 </w:t>
            </w:r>
          </w:p>
          <w:p w14:paraId="25D45AE9">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 xml:space="preserve">★2.3.8 </w:t>
            </w:r>
            <w:r>
              <w:rPr>
                <w:rFonts w:hint="eastAsia" w:ascii="仿宋" w:hAnsi="仿宋" w:eastAsia="仿宋" w:cs="仿宋"/>
                <w:i w:val="0"/>
                <w:iCs w:val="0"/>
                <w:color w:val="auto"/>
                <w:kern w:val="0"/>
                <w:sz w:val="20"/>
                <w:szCs w:val="20"/>
                <w:highlight w:val="none"/>
                <w:u w:val="none"/>
                <w:lang w:val="en-US" w:eastAsia="zh-CN"/>
              </w:rPr>
              <w:t>四极杆</w:t>
            </w:r>
            <w:r>
              <w:rPr>
                <w:rFonts w:hint="eastAsia" w:ascii="仿宋" w:hAnsi="仿宋" w:eastAsia="仿宋" w:cs="仿宋"/>
                <w:i w:val="0"/>
                <w:iCs w:val="0"/>
                <w:color w:val="auto"/>
                <w:kern w:val="0"/>
                <w:sz w:val="20"/>
                <w:szCs w:val="20"/>
                <w:u w:val="none"/>
                <w:lang w:val="en-US" w:eastAsia="zh-CN"/>
              </w:rPr>
              <w:t>质量分析器：满足各类水质、职业卫生、食品及环境目标物有机化合物的分析标准，采用石英镀金双曲面四极杆，四极杆能独立温控(非预四极杆加热)，最高可达 200℃或以上</w:t>
            </w:r>
          </w:p>
          <w:p w14:paraId="57B3432A">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2.3.9 气质接口温度: 独立控温，最高温度可到350℃</w:t>
            </w:r>
          </w:p>
          <w:p w14:paraId="6895F33D">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2.3.10 扫描功能:全扫描(Full Scan)、子离子扫描( Product Ion Scan)、母离子扫描(Precursor Ion Scan)、中性丢失扫描(Neutral Loss Scan)、选择离子扫描模式(SIM)、多反应扫描模式（SRM）</w:t>
            </w:r>
          </w:p>
          <w:p w14:paraId="76375B3A">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2.3.11 质谱工作站同时具有分段扫描功能和dMRM功能。</w:t>
            </w:r>
          </w:p>
          <w:p w14:paraId="3DFD6844">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2.3.12 二级质谱MRM数据分析应用套件：包含超过1100种农药和环境污染物的MRM数据库, 每个化合物提供经保留时间锁定的确切保留时间，同时每个化合物包含不少于8个MRM离子对数据。</w:t>
            </w:r>
          </w:p>
          <w:p w14:paraId="485E7365">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2.3.13 可以满足一针进样筛查植物性基质中超过1000种农残及环境污染物的应用需求</w:t>
            </w:r>
          </w:p>
          <w:p w14:paraId="3C3A9154">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2.4 数据处理系统</w:t>
            </w:r>
          </w:p>
          <w:p w14:paraId="0A76B4B4">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▲2.4.1 定性分析软件标配解卷积功能，解决化合物未分离共流出，充分挖掘数据信息（提供定性分析软件实际数据解卷积处理操作截图作为证明）；</w:t>
            </w:r>
          </w:p>
          <w:p w14:paraId="764BB850">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 xml:space="preserve">2.4.2 通用谱库: 最新的NIST谱库和化学结构式库 </w:t>
            </w:r>
          </w:p>
          <w:p w14:paraId="56F5765F">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2.6 配置要求：</w:t>
            </w:r>
          </w:p>
          <w:p w14:paraId="0A0E9E09">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2.6.1 气相色谱仪主机（含触摸屏）1套</w:t>
            </w:r>
          </w:p>
          <w:p w14:paraId="7FB71944">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2.6.2 多模式进样口1套</w:t>
            </w:r>
          </w:p>
          <w:p w14:paraId="2E06C4BD">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2.6.3 16位液体自动进样器（可扩展至150位）</w:t>
            </w:r>
          </w:p>
          <w:p w14:paraId="5E1DB3CB">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2.6.4 三重四极杆质谱仪主机1套</w:t>
            </w:r>
          </w:p>
          <w:p w14:paraId="1AE09096">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2.6.5 质谱接口1套</w:t>
            </w:r>
          </w:p>
          <w:p w14:paraId="5A6B03A5">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2.6.6 质谱工作站1套（电脑：16G内存，2T硬盘，24寸显示器，配置高性能激光打印机，可自动双面打印。）、NIST谱库1套</w:t>
            </w:r>
          </w:p>
          <w:p w14:paraId="4285C089">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2.6.7 载气纯度智能报警装置1套</w:t>
            </w:r>
          </w:p>
          <w:p w14:paraId="46870F3E">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2.6.8 备品备件（石墨密封垫圈1包、O型圈1包、分流衬管1包、不分流衬管1包、进样隔垫1包、氦气捕集阱1包） 数量1套</w:t>
            </w:r>
          </w:p>
          <w:p w14:paraId="5FECB272">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3.售后服务</w:t>
            </w:r>
          </w:p>
          <w:p w14:paraId="03909E83">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3.1 厂家售后服务通过ISO质量体系认证</w:t>
            </w:r>
          </w:p>
          <w:p w14:paraId="2B00CB17">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3.2 供应商提供仪器的现场安装调试并达到投标书指标要求的技术性能，并同时在现场对用户进行操作培训。如果现场安装测试指标未通过，用户有权要求退货并要求赔偿损失。</w:t>
            </w:r>
          </w:p>
          <w:p w14:paraId="3EFA3B74">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3.3 仪器保修期自验收合格日期起为2年。</w:t>
            </w:r>
          </w:p>
          <w:p w14:paraId="28D5A705">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3.4 仪器在调试通过后提供保修服务，在保修期内，所有服务及配件全部免费。供应商在中国需设有保税库，能更及时地为用户提供备品备件。</w:t>
            </w:r>
          </w:p>
          <w:p w14:paraId="37151535">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i w:val="0"/>
                <w:iCs w:val="0"/>
                <w:color w:val="auto"/>
                <w:kern w:val="0"/>
                <w:sz w:val="20"/>
                <w:szCs w:val="20"/>
                <w:u w:val="none"/>
                <w:lang w:val="en-US" w:eastAsia="zh-CN"/>
              </w:rPr>
            </w:pPr>
            <w:r>
              <w:rPr>
                <w:rFonts w:hint="eastAsia" w:ascii="仿宋" w:hAnsi="仿宋" w:eastAsia="仿宋" w:cs="仿宋"/>
                <w:i w:val="0"/>
                <w:iCs w:val="0"/>
                <w:color w:val="auto"/>
                <w:kern w:val="0"/>
                <w:sz w:val="20"/>
                <w:szCs w:val="20"/>
                <w:u w:val="none"/>
                <w:lang w:val="en-US" w:eastAsia="zh-CN"/>
              </w:rPr>
              <w:t>3.5 供应商设有分析仪器教育培训中心和应用实验室，为不少于2名用户提供仪器的基本原理、操作、日常维护及基础分析仪器理论课程，并为用户提供上机培训。</w:t>
            </w:r>
          </w:p>
          <w:p w14:paraId="5E15787D">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sz w:val="20"/>
                <w:szCs w:val="20"/>
              </w:rPr>
            </w:pPr>
            <w:r>
              <w:rPr>
                <w:rFonts w:hint="eastAsia" w:ascii="仿宋" w:hAnsi="仿宋" w:eastAsia="仿宋" w:cs="仿宋"/>
                <w:i w:val="0"/>
                <w:iCs w:val="0"/>
                <w:color w:val="auto"/>
                <w:kern w:val="0"/>
                <w:sz w:val="20"/>
                <w:szCs w:val="20"/>
                <w:u w:val="none"/>
                <w:lang w:val="en-US" w:eastAsia="zh-CN"/>
              </w:rPr>
              <w:t>3.6 厂商在国内应设有专业的维修站，具备非常完善的售后服务体系，具备培训中心和厂家应用实验室,有专职的维修工程师及应用工程师，有效保证售后维修的及时、快捷，并负责提供技术支持，保证仪器的正常操作，并协助用户进行方法开发。</w:t>
            </w:r>
          </w:p>
        </w:tc>
        <w:tc>
          <w:tcPr>
            <w:tcW w:w="417" w:type="dxa"/>
            <w:vAlign w:val="center"/>
          </w:tcPr>
          <w:p w14:paraId="03DBEA12">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sz w:val="20"/>
                <w:szCs w:val="20"/>
              </w:rPr>
            </w:pPr>
            <w:r>
              <w:rPr>
                <w:rFonts w:hint="eastAsia" w:ascii="仿宋" w:hAnsi="仿宋" w:eastAsia="仿宋" w:cs="仿宋"/>
                <w:i w:val="0"/>
                <w:iCs w:val="0"/>
                <w:color w:val="auto"/>
                <w:kern w:val="0"/>
                <w:sz w:val="20"/>
                <w:szCs w:val="20"/>
                <w:u w:val="none"/>
                <w:lang w:val="en-US" w:eastAsia="zh-CN"/>
              </w:rPr>
              <w:t>台</w:t>
            </w:r>
          </w:p>
        </w:tc>
        <w:tc>
          <w:tcPr>
            <w:tcW w:w="417" w:type="dxa"/>
            <w:vAlign w:val="center"/>
          </w:tcPr>
          <w:p w14:paraId="35AC6D83">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sz w:val="20"/>
                <w:szCs w:val="20"/>
              </w:rPr>
            </w:pPr>
            <w:r>
              <w:rPr>
                <w:rFonts w:hint="eastAsia" w:ascii="仿宋" w:hAnsi="仿宋" w:eastAsia="仿宋" w:cs="仿宋"/>
                <w:i w:val="0"/>
                <w:iCs w:val="0"/>
                <w:color w:val="auto"/>
                <w:kern w:val="0"/>
                <w:sz w:val="20"/>
                <w:szCs w:val="20"/>
                <w:u w:val="none"/>
                <w:lang w:val="en-US" w:eastAsia="zh-CN"/>
              </w:rPr>
              <w:t>1</w:t>
            </w:r>
          </w:p>
        </w:tc>
        <w:tc>
          <w:tcPr>
            <w:tcW w:w="715" w:type="dxa"/>
            <w:vAlign w:val="center"/>
          </w:tcPr>
          <w:p w14:paraId="46A62713">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sz w:val="20"/>
                <w:szCs w:val="20"/>
                <w:lang w:eastAsia="zh-CN"/>
              </w:rPr>
            </w:pPr>
            <w:r>
              <w:rPr>
                <w:rFonts w:hint="eastAsia" w:ascii="仿宋" w:hAnsi="仿宋" w:eastAsia="仿宋" w:cs="仿宋"/>
                <w:i w:val="0"/>
                <w:iCs w:val="0"/>
                <w:color w:val="auto"/>
                <w:kern w:val="0"/>
                <w:sz w:val="20"/>
                <w:szCs w:val="20"/>
                <w:u w:val="none"/>
                <w:lang w:val="en-US" w:eastAsia="zh-CN"/>
              </w:rPr>
              <w:t>120.3</w:t>
            </w:r>
          </w:p>
        </w:tc>
        <w:tc>
          <w:tcPr>
            <w:tcW w:w="715" w:type="dxa"/>
            <w:vAlign w:val="center"/>
          </w:tcPr>
          <w:p w14:paraId="2FCBBFD9">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仿宋" w:hAnsi="仿宋" w:eastAsia="仿宋" w:cs="仿宋"/>
                <w:sz w:val="20"/>
                <w:szCs w:val="20"/>
                <w:lang w:eastAsia="zh-CN"/>
              </w:rPr>
            </w:pPr>
            <w:r>
              <w:rPr>
                <w:rFonts w:hint="eastAsia" w:ascii="仿宋" w:hAnsi="仿宋" w:eastAsia="仿宋" w:cs="仿宋"/>
                <w:i w:val="0"/>
                <w:iCs w:val="0"/>
                <w:color w:val="auto"/>
                <w:kern w:val="0"/>
                <w:sz w:val="20"/>
                <w:szCs w:val="20"/>
                <w:u w:val="none"/>
                <w:lang w:val="en-US" w:eastAsia="zh-CN"/>
              </w:rPr>
              <w:t>120.3</w:t>
            </w:r>
          </w:p>
        </w:tc>
      </w:tr>
    </w:tbl>
    <w:p w14:paraId="4BA23218">
      <w:pPr>
        <w:rPr>
          <w:rFonts w:hint="default"/>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6F07B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2026-10-23T10:16:27Z</dcterms:created>
  <dc:creator>江小花</dc:creator>
  <cp:lastModifiedBy>江小花</cp:lastModifiedBy>
  <dcterms:modified xsi:type="dcterms:W3CDTF">2026-10-23T10:16:54Z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eyJoZGlkIjoiNjNiZGNhYTJmOGY3MDhjYzhhYTI2Mjc0NTBhODEzODYiLCJ1c2VySWQiOiIxMzI1MjE1MDkxIn0=</vt:lpwstr>
  </property>
  <property fmtid="{D5CDD505-2E9C-101B-9397-08002B2CF9AE}" pid="4" name="ICV">
    <vt:lpwstr>F3C230255CA345D8990526B3CA9F53E0_12</vt:lpwstr>
  </property>
</Properties>
</file>