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版本号：RH采字【20260506】号.1B120260517001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承办陕西省2026丝绸之路国际产学研用合作会议暨教育合作交流会服务项目(二次)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RH采字【20260506】号.1B1</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承办陕西省2026丝绸之路国际产学研用合作会议暨教育合作交流会服务项目(二次)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RH采字【20260506】号.1B1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承办陕西省2026丝绸之路国际产学研用合作会议暨教育合作交流会服务项目(二次)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西北大学承办陕西省2026丝绸之路国际产学研用合作会议暨教育合作交流会服务项目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采购包1（承办陕西省2026丝绸之路国际产学研用合作会议暨教育合作交流会服务项目）：属于专门面向中小企业采购。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注册会计师行业统一监管平台网址：acc.mof.gov.cn）。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有依法缴纳税收的良好记录：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（三）供应商应当自行准备适应电子化采购所需的计算机终端、软硬件及网络环境，承担因准备不足产生的不利后果。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ind w:firstLine="480"/>
        <w:jc w:val="left"/>
      </w:pPr>
      <w:r>
        <w:rPr>
          <w:rFonts w:ascii="仿宋_GB2312" w:hAnsi="仿宋_GB2312" w:cs="仿宋_GB2312" w:eastAsia="仿宋_GB2312"/>
        </w:rPr>
        <w:t xml:space="preserve"> 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029-88302595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石雨鑫、张丰利、刘菲、王倩倩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采购包1：423,978.00元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产品属于节能产品政府采购品目清单中应强制采购的产品范围，供应商应当按照第七章强制、优先采购产品承诺函格式进行承诺，否则作无效响应处理。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产品属于环境标志产品政府采购品目清单中应优先采购的产品范围，供应商可根据第七章强制、优先采购产品承诺函格式要求承诺提供经认证的节能、环境标志产品。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谈判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开户名称：瑞恒项目管理有限公司</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银行账号：3700024819200044620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缴纳方式：银行转账、支票/汇票/本票、保函/保险； 说明：成交供应商于合同签订前缴纳，缴纳金额为合同金额的5%。 缴纳方式：银行转账、支票/汇票/本票、保函/保险；履约保证金汇款账户： 户 名：西北大学 开户银行：交通银行西安学府大街支行 账 号：611301015018001145006 履约保证金缴纳后，可持银行回执到西北大学换取收据。退还方式：待验收合格后凭收据和验收单复印件无息退还。 如遇下列情况之一者，合同履约保证金不予退还，作为对采购人的赔偿： （1）合同签订后不能按合同时限要求提供服务的； （2）所提供的服务与合同不符或验收不合格的； （3）不能按合同履约的。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采购代理服务收费管理暂行办法的通知》（计价格[2002]1980号）及《国家发展改革委办公厅关于招标代理服务收费有关问题的通知》（发改办价格[2003]857号）规定的收费标准下浮20%收取。户名：瑞恒项目管理有限公司 开户行：工行西安城南科技支行 账号：3700024819200044620。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 xml:space="preserve"> 二、本竞争性谈判文件的最终解释权由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西北大学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瑞恒项目管理有限公司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 xml:space="preserve"> 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一、供应商的报价是供应商响应谈判项目要求的全部工作内容的价格体现，包括供应商完成本项目所需的一切费用。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2.4.8响应文件有效期</w:t>
      </w:r>
    </w:p>
    <w:p>
      <w:pPr>
        <w:pStyle w:val="null3"/>
        <w:ind w:firstLine="480"/>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联系人：石雨鑫、张丰利、刘菲、王倩倩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西北大学承办陕西省2026丝绸之路国际产学研用合作会议暨教育合作交流会服务项目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423,978.00</w:t>
      </w:r>
    </w:p>
    <w:p>
      <w:pPr>
        <w:pStyle w:val="null3"/>
      </w:pPr>
      <w:r>
        <w:rPr>
          <w:rFonts w:ascii="仿宋_GB2312" w:hAnsi="仿宋_GB2312" w:cs="仿宋_GB2312" w:eastAsia="仿宋_GB2312"/>
        </w:rPr>
        <w:t>采购包最高限价（元）: 423,978.00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承办陕西省2026丝绸之路国际产学研用合作会议暨教育合作交流会服务项目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423,978.00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标的名称：承办陕西省2026丝绸之路国际产学研用合作会议暨教育合作交流会服务项目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87"/>
              <w:gridCol w:w="287"/>
              <w:gridCol w:w="345"/>
              <w:gridCol w:w="641"/>
              <w:gridCol w:w="233"/>
              <w:gridCol w:w="399"/>
              <w:gridCol w:w="345"/>
            </w:tblGrid>
            <w:tr>
              <w:tc>
                <w:tcPr>
                  <w:tcW w:type="dxa" w:w="2537"/>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1策划设计服务</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内容</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要求</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活动策划</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整体规划</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活动筹备顾问指导</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3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策划方案</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量身定制活动策划方案</w:t>
                  </w:r>
                </w:p>
              </w:tc>
              <w:tc>
                <w:tcPr>
                  <w:tcW w:type="dxa" w:w="233"/>
                  <w:vMerge/>
                  <w:tcBorders>
                    <w:top w:val="none" w:color="000000" w:sz="4"/>
                    <w:left w:val="none" w:color="000000" w:sz="4"/>
                    <w:bottom w:val="single" w:color="000000" w:sz="4"/>
                    <w:right w:val="single" w:color="000000" w:sz="4"/>
                  </w:tcBorders>
                </w:tcPr>
                <w:p/>
              </w:tc>
              <w:tc>
                <w:tcPr>
                  <w:tcW w:type="dxa" w:w="399"/>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进度统筹</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活动筹备工作整体进度安排</w:t>
                  </w:r>
                </w:p>
              </w:tc>
              <w:tc>
                <w:tcPr>
                  <w:tcW w:type="dxa" w:w="233"/>
                  <w:vMerge/>
                  <w:tcBorders>
                    <w:top w:val="none" w:color="000000" w:sz="4"/>
                    <w:left w:val="none" w:color="000000" w:sz="4"/>
                    <w:bottom w:val="single" w:color="000000" w:sz="4"/>
                    <w:right w:val="single" w:color="000000" w:sz="4"/>
                  </w:tcBorders>
                </w:tcPr>
                <w:p/>
              </w:tc>
              <w:tc>
                <w:tcPr>
                  <w:tcW w:type="dxa" w:w="399"/>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活动音乐</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活动音乐的挑选以及应用</w:t>
                  </w:r>
                </w:p>
              </w:tc>
              <w:tc>
                <w:tcPr>
                  <w:tcW w:type="dxa" w:w="233"/>
                  <w:vMerge/>
                  <w:tcBorders>
                    <w:top w:val="none" w:color="000000" w:sz="4"/>
                    <w:left w:val="none" w:color="000000" w:sz="4"/>
                    <w:bottom w:val="single" w:color="000000" w:sz="4"/>
                    <w:right w:val="single" w:color="000000" w:sz="4"/>
                  </w:tcBorders>
                </w:tcPr>
                <w:p/>
              </w:tc>
              <w:tc>
                <w:tcPr>
                  <w:tcW w:type="dxa" w:w="399"/>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现场总控</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活动当天统筹安排</w:t>
                  </w:r>
                </w:p>
              </w:tc>
              <w:tc>
                <w:tcPr>
                  <w:tcW w:type="dxa" w:w="233"/>
                  <w:vMerge/>
                  <w:tcBorders>
                    <w:top w:val="none" w:color="000000" w:sz="4"/>
                    <w:left w:val="none" w:color="000000" w:sz="4"/>
                    <w:bottom w:val="single" w:color="000000" w:sz="4"/>
                    <w:right w:val="single" w:color="000000" w:sz="4"/>
                  </w:tcBorders>
                </w:tcPr>
                <w:p/>
              </w:tc>
              <w:tc>
                <w:tcPr>
                  <w:tcW w:type="dxa" w:w="399"/>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平面设计</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主视觉背景设计</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主视觉背景设计</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3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欢迎背景设计</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欢迎背景设计</w:t>
                  </w:r>
                </w:p>
              </w:tc>
              <w:tc>
                <w:tcPr>
                  <w:tcW w:type="dxa" w:w="233"/>
                  <w:vMerge/>
                  <w:tcBorders>
                    <w:top w:val="none" w:color="000000" w:sz="4"/>
                    <w:left w:val="none" w:color="000000" w:sz="4"/>
                    <w:bottom w:val="single" w:color="000000" w:sz="4"/>
                    <w:right w:val="single" w:color="000000" w:sz="4"/>
                  </w:tcBorders>
                </w:tcPr>
                <w:p/>
              </w:tc>
              <w:tc>
                <w:tcPr>
                  <w:tcW w:type="dxa" w:w="399"/>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签到背景设计</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签到背景设计</w:t>
                  </w:r>
                </w:p>
              </w:tc>
              <w:tc>
                <w:tcPr>
                  <w:tcW w:type="dxa" w:w="233"/>
                  <w:vMerge/>
                  <w:tcBorders>
                    <w:top w:val="none" w:color="000000" w:sz="4"/>
                    <w:left w:val="none" w:color="000000" w:sz="4"/>
                    <w:bottom w:val="single" w:color="000000" w:sz="4"/>
                    <w:right w:val="single" w:color="000000" w:sz="4"/>
                  </w:tcBorders>
                </w:tcPr>
                <w:p/>
              </w:tc>
              <w:tc>
                <w:tcPr>
                  <w:tcW w:type="dxa" w:w="399"/>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指引导视设计</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指引导视设计</w:t>
                  </w:r>
                </w:p>
              </w:tc>
              <w:tc>
                <w:tcPr>
                  <w:tcW w:type="dxa" w:w="233"/>
                  <w:vMerge/>
                  <w:tcBorders>
                    <w:top w:val="none" w:color="000000" w:sz="4"/>
                    <w:left w:val="none" w:color="000000" w:sz="4"/>
                    <w:bottom w:val="single" w:color="000000" w:sz="4"/>
                    <w:right w:val="single" w:color="000000" w:sz="4"/>
                  </w:tcBorders>
                </w:tcPr>
                <w:p/>
              </w:tc>
              <w:tc>
                <w:tcPr>
                  <w:tcW w:type="dxa" w:w="399"/>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胸牌设计</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胸牌设计</w:t>
                  </w:r>
                </w:p>
              </w:tc>
              <w:tc>
                <w:tcPr>
                  <w:tcW w:type="dxa" w:w="233"/>
                  <w:vMerge/>
                  <w:tcBorders>
                    <w:top w:val="none" w:color="000000" w:sz="4"/>
                    <w:left w:val="none" w:color="000000" w:sz="4"/>
                    <w:bottom w:val="single" w:color="000000" w:sz="4"/>
                    <w:right w:val="single" w:color="000000" w:sz="4"/>
                  </w:tcBorders>
                </w:tcPr>
                <w:p/>
              </w:tc>
              <w:tc>
                <w:tcPr>
                  <w:tcW w:type="dxa" w:w="399"/>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会议手册设计</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会议手册设计</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册</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视频制作</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开场宣传片制作</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启动仪式视频</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高端定制</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揭牌视频</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高端定制</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人工运费</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工作人员</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现场搭建及执行服务</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材料运费</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现场物料</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趟</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3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2会场布置服务</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内容</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要求</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欢迎背景板</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欢迎背景板</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桁架（尺寸：</w:t>
                  </w:r>
                  <w:r>
                    <w:rPr>
                      <w:rFonts w:ascii="仿宋_GB2312" w:hAnsi="仿宋_GB2312" w:cs="仿宋_GB2312" w:eastAsia="仿宋_GB2312"/>
                      <w:sz w:val="20"/>
                      <w:color w:val="000000"/>
                    </w:rPr>
                    <w:t>8米长*3.4米高*0.8米厚）双面</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59.84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黑底灯喷绘布</w:t>
                  </w:r>
                  <w:r>
                    <w:rPr>
                      <w:rFonts w:ascii="仿宋_GB2312" w:hAnsi="仿宋_GB2312" w:cs="仿宋_GB2312" w:eastAsia="仿宋_GB2312"/>
                      <w:sz w:val="20"/>
                      <w:color w:val="000000"/>
                    </w:rPr>
                    <w:t>550（尺寸：8米长*3.4米高*0.8米厚+出血）双面</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元方米</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63.7</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签到背景板</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签到背景</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桁架（尺寸：</w:t>
                  </w:r>
                  <w:r>
                    <w:rPr>
                      <w:rFonts w:ascii="仿宋_GB2312" w:hAnsi="仿宋_GB2312" w:cs="仿宋_GB2312" w:eastAsia="仿宋_GB2312"/>
                      <w:sz w:val="20"/>
                      <w:color w:val="000000"/>
                    </w:rPr>
                    <w:t>8米长*2.6米高*0.8米厚）双面</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45.76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黑底灯喷绘布</w:t>
                  </w:r>
                  <w:r>
                    <w:rPr>
                      <w:rFonts w:ascii="仿宋_GB2312" w:hAnsi="仿宋_GB2312" w:cs="仿宋_GB2312" w:eastAsia="仿宋_GB2312"/>
                      <w:sz w:val="20"/>
                      <w:color w:val="000000"/>
                    </w:rPr>
                    <w:t>550（尺寸：8米长*2.6米高*0.8米厚+出血）双面</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49.14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指引导视</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立屏展架</w:t>
                  </w:r>
                  <w:r>
                    <w:rPr>
                      <w:rFonts w:ascii="仿宋_GB2312" w:hAnsi="仿宋_GB2312" w:cs="仿宋_GB2312" w:eastAsia="仿宋_GB2312"/>
                      <w:sz w:val="20"/>
                      <w:color w:val="000000"/>
                    </w:rPr>
                    <w:t>0.8*1.8m（背胶写真KT板画面）</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展区主题背景板</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展区主题背景板</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桁架（尺寸：</w:t>
                  </w:r>
                  <w:r>
                    <w:rPr>
                      <w:rFonts w:ascii="仿宋_GB2312" w:hAnsi="仿宋_GB2312" w:cs="仿宋_GB2312" w:eastAsia="仿宋_GB2312"/>
                      <w:sz w:val="20"/>
                      <w:color w:val="000000"/>
                    </w:rPr>
                    <w:t>7米长*2.6米高*0.6米厚）双面</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39.52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黑底灯喷绘布</w:t>
                  </w:r>
                  <w:r>
                    <w:rPr>
                      <w:rFonts w:ascii="仿宋_GB2312" w:hAnsi="仿宋_GB2312" w:cs="仿宋_GB2312" w:eastAsia="仿宋_GB2312"/>
                      <w:sz w:val="20"/>
                      <w:color w:val="000000"/>
                    </w:rPr>
                    <w:t>550（尺寸：7米长*2.6米高*0.6米厚+出血）双面</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41.31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展板</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立屏展架</w:t>
                  </w:r>
                  <w:r>
                    <w:rPr>
                      <w:rFonts w:ascii="仿宋_GB2312" w:hAnsi="仿宋_GB2312" w:cs="仿宋_GB2312" w:eastAsia="仿宋_GB2312"/>
                      <w:sz w:val="20"/>
                      <w:color w:val="000000"/>
                    </w:rPr>
                    <w:t>0.8*1.8m（背胶写真KT板画面）</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会场布置规划</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舞台搭建</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铝合金舞台</w:t>
                  </w:r>
                  <w:r>
                    <w:rPr>
                      <w:rFonts w:ascii="仿宋_GB2312" w:hAnsi="仿宋_GB2312" w:cs="仿宋_GB2312" w:eastAsia="仿宋_GB2312"/>
                      <w:sz w:val="20"/>
                      <w:color w:val="000000"/>
                    </w:rPr>
                    <w:t>16*6m</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舞台踏步</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4m</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舞台斜面</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led斜面屏（1*14）</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地毯</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舞台拉绒地毯（</w:t>
                  </w:r>
                  <w:r>
                    <w:rPr>
                      <w:rFonts w:ascii="仿宋_GB2312" w:hAnsi="仿宋_GB2312" w:cs="仿宋_GB2312" w:eastAsia="仿宋_GB2312"/>
                      <w:sz w:val="20"/>
                      <w:color w:val="000000"/>
                    </w:rPr>
                    <w:t>16*9m）</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讲台贴</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讲台贴</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贵宾沙发</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贵宾高规格沙发（沙发</w:t>
                  </w:r>
                  <w:r>
                    <w:rPr>
                      <w:rFonts w:ascii="仿宋_GB2312" w:hAnsi="仿宋_GB2312" w:cs="仿宋_GB2312" w:eastAsia="仿宋_GB2312"/>
                      <w:sz w:val="20"/>
                      <w:color w:val="000000"/>
                    </w:rPr>
                    <w:t>1个+茶几一个）</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VDI设备费</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LED屏</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LED屏P3 16*4m</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A6切换台（8个通道，无缝切换）</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控台围挡</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桁架（尺寸：</w:t>
                  </w:r>
                  <w:r>
                    <w:rPr>
                      <w:rFonts w:ascii="仿宋_GB2312" w:hAnsi="仿宋_GB2312" w:cs="仿宋_GB2312" w:eastAsia="仿宋_GB2312"/>
                      <w:sz w:val="20"/>
                      <w:color w:val="000000"/>
                    </w:rPr>
                    <w:t>8米长*1.2米高*L深1.6米）</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黑底灯喷绘布</w:t>
                  </w:r>
                  <w:r>
                    <w:rPr>
                      <w:rFonts w:ascii="仿宋_GB2312" w:hAnsi="仿宋_GB2312" w:cs="仿宋_GB2312" w:eastAsia="仿宋_GB2312"/>
                      <w:sz w:val="20"/>
                      <w:color w:val="000000"/>
                    </w:rPr>
                    <w:t>550（尺寸：8米长*1.2米高*L深1.6米+出血）</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音响灯光租赁</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线阵音响租赁</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线阵全频主音响</w:t>
                  </w:r>
                  <w:r>
                    <w:rPr>
                      <w:rFonts w:ascii="仿宋_GB2312" w:hAnsi="仿宋_GB2312" w:cs="仿宋_GB2312" w:eastAsia="仿宋_GB2312"/>
                      <w:sz w:val="20"/>
                      <w:color w:val="000000"/>
                    </w:rPr>
                    <w:t>ZSOUND LA110</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线阵超低主音响</w:t>
                  </w:r>
                  <w:r>
                    <w:rPr>
                      <w:rFonts w:ascii="仿宋_GB2312" w:hAnsi="仿宋_GB2312" w:cs="仿宋_GB2312" w:eastAsia="仿宋_GB2312"/>
                      <w:sz w:val="20"/>
                      <w:color w:val="000000"/>
                    </w:rPr>
                    <w:t>ZSOUND -LA110S</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舞台返听</w:t>
                  </w:r>
                  <w:r>
                    <w:rPr>
                      <w:rFonts w:ascii="仿宋_GB2312" w:hAnsi="仿宋_GB2312" w:cs="仿宋_GB2312" w:eastAsia="仿宋_GB2312"/>
                      <w:sz w:val="20"/>
                      <w:color w:val="000000"/>
                    </w:rPr>
                    <w:t>ZSOUND -P15</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话筒</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鹅颈</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调音台</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TL硅箱</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信号放大器</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3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配电柜</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399"/>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电源及讯号线</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399"/>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灯光租赁</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面光灯</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LED灯</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光束灯</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灯光架（龙门）</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灯光师</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启动道具</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启动道具</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启动柱</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电子签约</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签约柱</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含主题</w:t>
                  </w:r>
                  <w:r>
                    <w:rPr>
                      <w:rFonts w:ascii="仿宋_GB2312" w:hAnsi="仿宋_GB2312" w:cs="仿宋_GB2312" w:eastAsia="仿宋_GB2312"/>
                      <w:sz w:val="20"/>
                      <w:color w:val="000000"/>
                    </w:rPr>
                    <w:t>kt包装</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签约</w:t>
                  </w:r>
                  <w:r>
                    <w:rPr>
                      <w:rFonts w:ascii="仿宋_GB2312" w:hAnsi="仿宋_GB2312" w:cs="仿宋_GB2312" w:eastAsia="仿宋_GB2312"/>
                      <w:sz w:val="20"/>
                      <w:color w:val="000000"/>
                    </w:rPr>
                    <w:t>iPad</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w:t>
                  </w:r>
                  <w:r>
                    <w:rPr>
                      <w:rFonts w:ascii="仿宋_GB2312" w:hAnsi="仿宋_GB2312" w:cs="仿宋_GB2312" w:eastAsia="仿宋_GB2312"/>
                      <w:sz w:val="20"/>
                      <w:color w:val="000000"/>
                    </w:rPr>
                    <w:t>+专业技术</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3同声传译翻译服务</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内容</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要求</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同传翻译</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同传设备租赁</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远程中央控制器</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红外发射机箱</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红外辐射板</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译员台</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译员耳机</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r>
                    <w:rPr>
                      <w:rFonts w:ascii="仿宋_GB2312" w:hAnsi="仿宋_GB2312" w:cs="仿宋_GB2312" w:eastAsia="仿宋_GB2312"/>
                      <w:sz w:val="20"/>
                      <w:color w:val="000000"/>
                    </w:rPr>
                    <w:t>/场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红外线接收机</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r>
                    <w:rPr>
                      <w:rFonts w:ascii="仿宋_GB2312" w:hAnsi="仿宋_GB2312" w:cs="仿宋_GB2312" w:eastAsia="仿宋_GB2312"/>
                      <w:sz w:val="20"/>
                      <w:color w:val="000000"/>
                    </w:rPr>
                    <w:t>/场</w:t>
                  </w:r>
                </w:p>
              </w:tc>
              <w:tc>
                <w:tcPr>
                  <w:tcW w:type="dxa" w:w="3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耳机</w:t>
                  </w:r>
                </w:p>
              </w:tc>
              <w:tc>
                <w:tcPr>
                  <w:tcW w:type="dxa" w:w="233"/>
                  <w:vMerge/>
                  <w:tcBorders>
                    <w:top w:val="none" w:color="000000" w:sz="4"/>
                    <w:left w:val="none" w:color="000000" w:sz="4"/>
                    <w:bottom w:val="single" w:color="000000" w:sz="4"/>
                    <w:right w:val="single" w:color="000000" w:sz="4"/>
                  </w:tcBorders>
                </w:tcPr>
                <w:p/>
              </w:tc>
              <w:tc>
                <w:tcPr>
                  <w:tcW w:type="dxa" w:w="399"/>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翻译室</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r>
                    <w:rPr>
                      <w:rFonts w:ascii="仿宋_GB2312" w:hAnsi="仿宋_GB2312" w:cs="仿宋_GB2312" w:eastAsia="仿宋_GB2312"/>
                      <w:sz w:val="20"/>
                      <w:color w:val="000000"/>
                    </w:rPr>
                    <w:t>/场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翻译人员</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中英翻译（</w:t>
                  </w:r>
                  <w:r>
                    <w:rPr>
                      <w:rFonts w:ascii="仿宋_GB2312" w:hAnsi="仿宋_GB2312" w:cs="仿宋_GB2312" w:eastAsia="仿宋_GB2312"/>
                      <w:sz w:val="20"/>
                      <w:color w:val="000000"/>
                    </w:rPr>
                    <w:t>4小时为一场）</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位</w:t>
                  </w:r>
                  <w:r>
                    <w:rPr>
                      <w:rFonts w:ascii="仿宋_GB2312" w:hAnsi="仿宋_GB2312" w:cs="仿宋_GB2312" w:eastAsia="仿宋_GB2312"/>
                      <w:sz w:val="20"/>
                      <w:color w:val="000000"/>
                    </w:rPr>
                    <w:t>/场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中俄翻译（</w:t>
                  </w:r>
                  <w:r>
                    <w:rPr>
                      <w:rFonts w:ascii="仿宋_GB2312" w:hAnsi="仿宋_GB2312" w:cs="仿宋_GB2312" w:eastAsia="仿宋_GB2312"/>
                      <w:sz w:val="20"/>
                      <w:color w:val="000000"/>
                    </w:rPr>
                    <w:t>4小时为一场）</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位</w:t>
                  </w:r>
                  <w:r>
                    <w:rPr>
                      <w:rFonts w:ascii="仿宋_GB2312" w:hAnsi="仿宋_GB2312" w:cs="仿宋_GB2312" w:eastAsia="仿宋_GB2312"/>
                      <w:sz w:val="20"/>
                      <w:color w:val="000000"/>
                    </w:rPr>
                    <w:t>/场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科大讯飞同声传译</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平台及系统</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技术及设备</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4摄影摄像服务</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内容</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要求</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2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摄影摄像服务</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定点机位</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高清摄像机</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链接大屏投屏</w:t>
                  </w: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摄像师（专业摄像师）</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位</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移动机位</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单反</w:t>
                  </w:r>
                  <w:r>
                    <w:rPr>
                      <w:rFonts w:ascii="仿宋_GB2312" w:hAnsi="仿宋_GB2312" w:cs="仿宋_GB2312" w:eastAsia="仿宋_GB2312"/>
                      <w:sz w:val="20"/>
                      <w:color w:val="000000"/>
                    </w:rPr>
                    <w:t>+稳定器机位</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摄像师（专业摄像师）</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5"/>
                  <w:vMerge/>
                  <w:tcBorders>
                    <w:top w:val="none" w:color="000000" w:sz="4"/>
                    <w:left w:val="none" w:color="000000" w:sz="4"/>
                    <w:bottom w:val="single" w:color="000000" w:sz="4"/>
                    <w:right w:val="single" w:color="000000" w:sz="4"/>
                  </w:tcBorders>
                </w:tc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快剪制作</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vMerge/>
                  <w:tcBorders>
                    <w:top w:val="none" w:color="000000" w:sz="4"/>
                    <w:left w:val="none" w:color="000000" w:sz="4"/>
                    <w:bottom w:val="single" w:color="000000" w:sz="4"/>
                    <w:right w:val="single" w:color="000000" w:sz="4"/>
                  </w:tcBorders>
                </w:tc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照片直播</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线上直播平台系统</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摄影</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位</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实时修图上传</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5其他服务</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内容</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要求</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2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其他服务</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印刷</w:t>
                  </w:r>
                  <w:r>
                    <w:rPr>
                      <w:rFonts w:ascii="仿宋_GB2312" w:hAnsi="仿宋_GB2312" w:cs="仿宋_GB2312" w:eastAsia="仿宋_GB2312"/>
                      <w:sz w:val="20"/>
                      <w:color w:val="000000"/>
                    </w:rPr>
                    <w:t>/快印</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会议手册（</w:t>
                  </w:r>
                  <w:r>
                    <w:rPr>
                      <w:rFonts w:ascii="仿宋_GB2312" w:hAnsi="仿宋_GB2312" w:cs="仿宋_GB2312" w:eastAsia="仿宋_GB2312"/>
                      <w:sz w:val="20"/>
                      <w:color w:val="000000"/>
                    </w:rPr>
                    <w:t>50-80页）A4大小</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册</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桌签（</w:t>
                  </w:r>
                  <w:r>
                    <w:rPr>
                      <w:rFonts w:ascii="仿宋_GB2312" w:hAnsi="仿宋_GB2312" w:cs="仿宋_GB2312" w:eastAsia="仿宋_GB2312"/>
                      <w:sz w:val="20"/>
                      <w:color w:val="000000"/>
                    </w:rPr>
                    <w:t>A4大小三折）</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车辆通行证</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嘉宾证（加厚</w:t>
                  </w:r>
                  <w:r>
                    <w:rPr>
                      <w:rFonts w:ascii="仿宋_GB2312" w:hAnsi="仿宋_GB2312" w:cs="仿宋_GB2312" w:eastAsia="仿宋_GB2312"/>
                      <w:sz w:val="20"/>
                      <w:color w:val="000000"/>
                    </w:rPr>
                    <w:t>PVC，双挂绳）    红色</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志愿者证（加厚</w:t>
                  </w:r>
                  <w:r>
                    <w:rPr>
                      <w:rFonts w:ascii="仿宋_GB2312" w:hAnsi="仿宋_GB2312" w:cs="仿宋_GB2312" w:eastAsia="仿宋_GB2312"/>
                      <w:sz w:val="20"/>
                      <w:color w:val="000000"/>
                    </w:rPr>
                    <w:t>PVC，双挂绳）  黄色</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工作人员（加厚</w:t>
                  </w:r>
                  <w:r>
                    <w:rPr>
                      <w:rFonts w:ascii="仿宋_GB2312" w:hAnsi="仿宋_GB2312" w:cs="仿宋_GB2312" w:eastAsia="仿宋_GB2312"/>
                      <w:sz w:val="20"/>
                      <w:color w:val="000000"/>
                    </w:rPr>
                    <w:t>PVC，双挂绳）  蓝色</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媒体证（加厚</w:t>
                  </w:r>
                  <w:r>
                    <w:rPr>
                      <w:rFonts w:ascii="仿宋_GB2312" w:hAnsi="仿宋_GB2312" w:cs="仿宋_GB2312" w:eastAsia="仿宋_GB2312"/>
                      <w:sz w:val="20"/>
                      <w:color w:val="000000"/>
                    </w:rPr>
                    <w:t>PVC，双挂绳）   蓝色  场内</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媒体证（加厚</w:t>
                  </w:r>
                  <w:r>
                    <w:rPr>
                      <w:rFonts w:ascii="仿宋_GB2312" w:hAnsi="仿宋_GB2312" w:cs="仿宋_GB2312" w:eastAsia="仿宋_GB2312"/>
                      <w:sz w:val="20"/>
                      <w:color w:val="000000"/>
                    </w:rPr>
                    <w:t>PVC，双挂绳）  绿色   场外</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对讲机</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对讲机租赁</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3天</w:t>
                  </w: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礼仪服务</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专业</w:t>
                  </w:r>
                  <w:r>
                    <w:rPr>
                      <w:rFonts w:ascii="仿宋_GB2312" w:hAnsi="仿宋_GB2312" w:cs="仿宋_GB2312" w:eastAsia="仿宋_GB2312"/>
                      <w:sz w:val="20"/>
                      <w:color w:val="000000"/>
                    </w:rPr>
                    <w:t>172cm含服装</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位</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志愿者</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位</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3天，每天50人。</w:t>
                  </w: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开场前节目演出</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节目服装，造型，化妆</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6场地服务</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内容</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要求</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会场租赁服务</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满足</w:t>
                  </w:r>
                  <w:r>
                    <w:rPr>
                      <w:rFonts w:ascii="仿宋_GB2312" w:hAnsi="仿宋_GB2312" w:cs="仿宋_GB2312" w:eastAsia="仿宋_GB2312"/>
                      <w:sz w:val="20"/>
                      <w:color w:val="000000"/>
                    </w:rPr>
                    <w:t>300-350人会场，会场厅高不能低于4.5米，交通便利</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22日下午</w:t>
                  </w: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2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住宿服务</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标间（含早）</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22日晚（预估）</w:t>
                  </w: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大床房（含早）</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45"/>
                  <w:vMerge/>
                  <w:tcBorders>
                    <w:top w:val="none" w:color="000000" w:sz="4"/>
                    <w:left w:val="none" w:color="000000" w:sz="4"/>
                    <w:bottom w:val="single" w:color="000000" w:sz="4"/>
                    <w:right w:val="single" w:color="000000" w:sz="4"/>
                  </w:tcBorders>
                </w:tcP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2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餐饮服务</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22日下午茶歇</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高规格</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位</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22日晚宴</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嘉宾餐（</w:t>
                  </w:r>
                  <w:r>
                    <w:rPr>
                      <w:rFonts w:ascii="仿宋_GB2312" w:hAnsi="仿宋_GB2312" w:cs="仿宋_GB2312" w:eastAsia="仿宋_GB2312"/>
                      <w:sz w:val="20"/>
                      <w:color w:val="000000"/>
                    </w:rPr>
                    <w:t>2桌）</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22日午餐</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自助餐</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3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7接待服务</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内容</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要求</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2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车辆租赁</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接送机</w:t>
                  </w:r>
                </w:p>
              </w:tc>
              <w:tc>
                <w:tcPr>
                  <w:tcW w:type="dxa" w:w="6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5座B级轿车</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趟</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接送高铁</w:t>
                  </w:r>
                </w:p>
              </w:tc>
              <w:tc>
                <w:tcPr>
                  <w:tcW w:type="dxa" w:w="641"/>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趟</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45"/>
                  <w:vMerge/>
                  <w:tcBorders>
                    <w:top w:val="none" w:color="000000" w:sz="4"/>
                    <w:left w:val="none" w:color="000000" w:sz="4"/>
                    <w:bottom w:val="single" w:color="000000" w:sz="4"/>
                    <w:right w:val="single" w:color="000000" w:sz="4"/>
                  </w:tcBorders>
                </w:tc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接送机</w:t>
                  </w:r>
                </w:p>
              </w:tc>
              <w:tc>
                <w:tcPr>
                  <w:tcW w:type="dxa" w:w="6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7座商务车</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趟</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接送高铁</w:t>
                  </w:r>
                </w:p>
              </w:tc>
              <w:tc>
                <w:tcPr>
                  <w:tcW w:type="dxa" w:w="641"/>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趟</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45"/>
                  <w:vMerge/>
                  <w:tcBorders>
                    <w:top w:val="none" w:color="000000" w:sz="4"/>
                    <w:left w:val="none" w:color="000000" w:sz="4"/>
                    <w:bottom w:val="single" w:color="000000" w:sz="4"/>
                    <w:right w:val="single" w:color="000000" w:sz="4"/>
                  </w:tcBorders>
                </w:tc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备车</w:t>
                  </w:r>
                </w:p>
              </w:tc>
              <w:tc>
                <w:tcPr>
                  <w:tcW w:type="dxa" w:w="641"/>
                  <w:vMerge/>
                  <w:tcBorders>
                    <w:top w:val="none" w:color="000000" w:sz="4"/>
                    <w:left w:val="none" w:color="000000" w:sz="4"/>
                    <w:bottom w:val="single" w:color="000000" w:sz="4"/>
                    <w:right w:val="single" w:color="000000" w:sz="4"/>
                  </w:tcBorders>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元</w:t>
                  </w:r>
                  <w:r>
                    <w:rPr>
                      <w:rFonts w:ascii="仿宋_GB2312" w:hAnsi="仿宋_GB2312" w:cs="仿宋_GB2312" w:eastAsia="仿宋_GB2312"/>
                      <w:sz w:val="20"/>
                      <w:color w:val="000000"/>
                    </w:rPr>
                    <w:t>/辆</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45"/>
                  <w:vMerge/>
                  <w:tcBorders>
                    <w:top w:val="none" w:color="000000" w:sz="4"/>
                    <w:left w:val="none" w:color="000000" w:sz="4"/>
                    <w:bottom w:val="single" w:color="000000" w:sz="4"/>
                    <w:right w:val="single" w:color="000000" w:sz="4"/>
                  </w:tcBorders>
                </w:tc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大巴车</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车辆调度</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元</w:t>
                  </w:r>
                  <w:r>
                    <w:rPr>
                      <w:rFonts w:ascii="仿宋_GB2312" w:hAnsi="仿宋_GB2312" w:cs="仿宋_GB2312" w:eastAsia="仿宋_GB2312"/>
                      <w:sz w:val="20"/>
                      <w:color w:val="000000"/>
                    </w:rPr>
                    <w:t>/人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备注：所有服务指标必须满足要求，不得出现负偏离，否则按无效文件处理。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3"/>
      </w:pPr>
      <w:r>
        <w:rPr>
          <w:rFonts w:ascii="仿宋_GB2312" w:hAnsi="仿宋_GB2312" w:cs="仿宋_GB2312" w:eastAsia="仿宋_GB2312"/>
          <w:sz w:val="24"/>
          <w:b/>
        </w:rPr>
        <w:t>3.2.5服务内容其他要求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采购标的需实现的功能或者目标：目标通过采购专业、系统、高效的全流程服务，确保西北大学承办陕西省2026丝绸之路国际产学研用合作会议暨教育合作交流会顺利、圆满、高水平举办。 功能：统筹管理论坛全流程，包括但不限于场地布置、视觉设计、设备技术支持、签到、流程管控、各环节衔接等，确保会议期间所有环节无缝衔接、高效运转、零差错。</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会议时间2026年5月22日，5月22日前完成会场搭建调试、现场布置等，活动当天完成转播，活动结束后当天安排撤场，保持安全秩序及会后会场卫生清洁工作，要求恢复搭建前场地原样。具体时间以采购人实际通知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西安，会场应能够满足300-350人会场，会场厅高不能低于4.5米，交通便利。</w:t>
      </w:r>
    </w:p>
    <w:p>
      <w:pPr>
        <w:pStyle w:val="null3"/>
        <w:outlineLvl w:val="3"/>
      </w:pPr>
      <w:r>
        <w:rPr>
          <w:rFonts w:ascii="仿宋_GB2312" w:hAnsi="仿宋_GB2312" w:cs="仿宋_GB2312" w:eastAsia="仿宋_GB2312"/>
          <w:sz w:val="24"/>
          <w:b/>
        </w:rPr>
        <w:t>3.3.3验收标准和方法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（1）质量标准。供应商保证提供的服务质量应符合中华人民共和国相关标准及相应的技术规范、本次采购相关文件中的全部相关要求及供应商相关服务标准及相应的技术规范中之较高者。 （2）验收组织。采购人责按规定组织验收工作并出具验收书，涉及向学校师生提供的公共服务项目，验收时须邀请服务对象参与并出具意见。</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jc w:val="left"/>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待服务期满并经采购人验收合格后，一次性付清服务费用。在合同履行过程中，若采购人根据实际情况增加合同约定之外的服务内容，该部分增加的服务不调整合同总价，供应商有义务完成。若采购人根据实际情况要求减少合同约定的服务内容，双方应就减少部分所对应的费用进行核减，相应调减合同总价</w:t>
      </w:r>
      <w:r>
        <w:rPr>
          <w:rFonts w:ascii="仿宋_GB2312" w:hAnsi="仿宋_GB2312" w:cs="仿宋_GB2312" w:eastAsia="仿宋_GB2312"/>
        </w:rPr>
        <w:t xml:space="preserve"> ， </w:t>
      </w:r>
      <w:r>
        <w:rPr>
          <w:rFonts w:ascii="仿宋_GB2312" w:hAnsi="仿宋_GB2312" w:cs="仿宋_GB2312" w:eastAsia="仿宋_GB2312"/>
        </w:rPr>
        <w:t>30</w:t>
      </w:r>
      <w:r>
        <w:rPr>
          <w:rFonts w:ascii="仿宋_GB2312" w:hAnsi="仿宋_GB2312" w:cs="仿宋_GB2312" w:eastAsia="仿宋_GB2312"/>
        </w:rPr>
        <w:t xml:space="preserve"> ，支付合同总金额的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服务不符合其投标承诺，存在偷工减料、以次充好情形的，采购人要求更换一次后仍不符合约定的，采购人有权解除采购合同，没收履约保证金，并将有关情况上报政府采购监管部门处理。</w:t>
      </w:r>
    </w:p>
    <w:p>
      <w:pPr>
        <w:pStyle w:val="null3"/>
        <w:outlineLvl w:val="3"/>
      </w:pPr>
      <w:r>
        <w:rPr>
          <w:rFonts w:ascii="仿宋_GB2312" w:hAnsi="仿宋_GB2312" w:cs="仿宋_GB2312" w:eastAsia="仿宋_GB2312"/>
          <w:sz w:val="24"/>
          <w:b/>
        </w:rPr>
        <w:t>3.4 其它要求</w:t>
      </w:r>
    </w:p>
    <w:p>
      <w:pPr>
        <w:pStyle w:val="null3"/>
      </w:pPr>
      <w:r>
        <w:rPr>
          <w:rFonts w:ascii="仿宋_GB2312" w:hAnsi="仿宋_GB2312" w:cs="仿宋_GB2312" w:eastAsia="仿宋_GB2312"/>
        </w:rPr>
        <w:t>1.（因系统编制受限，采购文件付款方式不一致的以此处为准）合同生效后，待服务期满并经采购人验收合格后，一次性付清服务费用。在合同履行过程中，若采购人根据实际情况增加合同约定之外的服务内容，该部分增加的服务不调整合同总价，供应商有义务完成。若采购人根据实际情况要求减少合同约定的服务内容，双方应就减少部分所对应的费用进行核减，相应调减合同总价。 2.纸质投标文件要求： （1）成交供应商应在中标（成交）结果公告发布后5个工作日内提供纸质投标（响应）文件三份（正本壹份、副本贰份，分别胶装）。 （2）递交地址：陕西省西安市曲江新区雁翔路3269号旺座曲江D座30层，联系人：王工，联系电话：15091632950。 （3）成交供应商应保持投标（响应）文件纸质版内容与交易系统上传电子版内容完全一致，否则将承担一切法律责任。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注册会计师行业统一监管平台网址：acc.mof.gov.cn）。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jc w:val="left"/>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出现上述应当停止评审情形的，谈判小组应当通过项目电子化交易系统向采购组织单位提交相关说明材料，说明停止评审的情形和具体理由。</w:t>
      </w:r>
    </w:p>
    <w:p>
      <w:pPr>
        <w:pStyle w:val="null3"/>
        <w:ind w:firstLine="480"/>
        <w:jc w:val="left"/>
      </w:pPr>
      <w:r>
        <w:rPr>
          <w:rFonts w:ascii="仿宋_GB2312" w:hAnsi="仿宋_GB2312" w:cs="仿宋_GB2312" w:eastAsia="仿宋_GB2312"/>
        </w:rPr>
        <w:t>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采购评审中出现下列情形之一的，谈判小组应当启动异常低价响应审查程序：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（4）谈判小组基于专业判断，认为供应商报价过低，有可能影响产品质量或者不能诚信履约的其他情形。 谈判小组启动异常低价响应审查后，属于前述第（1）项至第（4）项情形的，应当要求相关供应商在评审现场于30分钟内对响应价格作出解释，提供项目具体成本测算等与报价合理性相关的书面说明（书面说明应当按照国家财务会计制度的规定要求，逐项就供应商提供服务的主营业务成本、税金及附加、销售费用、管理费用、财务费用等成本构成进行说明）及必要的证明材料（类似项目类似报价合同、验收报告、发票等；其中，属于第（3）项情形，供应商已随响应文件一并提交相关书面说明及必要的证明材料的，在评审现场可不再重复提交。供应商不能证明其报价合理性的或者未在规定时间内提交材料或者提交了材料但是材料不齐全得，谈判小组应当将其作为无效谈判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供应商名称与营业执照一致（合格）供应商名称与营业执照不一致（不合格）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响应文件按采购文件要求的数量、计量单位、报价货币及签字盖章</w:t>
            </w:r>
          </w:p>
        </w:tc>
        <w:tc>
          <w:tcPr>
            <w:tcW w:type="dxa" w:w="3322"/>
          </w:tcPr>
          <w:p>
            <w:pPr>
              <w:pStyle w:val="null3"/>
            </w:pPr>
            <w:r>
              <w:rPr>
                <w:rFonts w:ascii="仿宋_GB2312" w:hAnsi="仿宋_GB2312" w:cs="仿宋_GB2312" w:eastAsia="仿宋_GB2312"/>
              </w:rPr>
              <w:t>响应文件按采购文件要求的数量、计量单位、报价货币及签字盖章（合格）响应文件未按采购文件要求的数量、计量单位、报价货币及签字盖章（不合格）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响应有效期满足采购文件要求</w:t>
            </w:r>
          </w:p>
        </w:tc>
        <w:tc>
          <w:tcPr>
            <w:tcW w:type="dxa" w:w="3322"/>
          </w:tcPr>
          <w:p>
            <w:pPr>
              <w:pStyle w:val="null3"/>
            </w:pPr>
            <w:r>
              <w:rPr>
                <w:rFonts w:ascii="仿宋_GB2312" w:hAnsi="仿宋_GB2312" w:cs="仿宋_GB2312" w:eastAsia="仿宋_GB2312"/>
              </w:rPr>
              <w:t>响应有效期满足采购文件要求（合格）响应有效期不满足采购文件要求（不合格）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技术、商务响应满足实质性要求</w:t>
            </w:r>
          </w:p>
        </w:tc>
        <w:tc>
          <w:tcPr>
            <w:tcW w:type="dxa" w:w="3322"/>
          </w:tcPr>
          <w:p>
            <w:pPr>
              <w:pStyle w:val="null3"/>
            </w:pPr>
            <w:r>
              <w:rPr>
                <w:rFonts w:ascii="仿宋_GB2312" w:hAnsi="仿宋_GB2312" w:cs="仿宋_GB2312" w:eastAsia="仿宋_GB2312"/>
              </w:rPr>
              <w:t>技术响应满足第三章3.2服务内容及服务要求，商务响应满足第三章3.3商务要求（合格），任意一条不满足（不合格）</w:t>
            </w:r>
          </w:p>
        </w:tc>
        <w:tc>
          <w:tcPr>
            <w:tcW w:type="dxa" w:w="1661"/>
          </w:tcPr>
          <w:p>
            <w:pPr>
              <w:pStyle w:val="null3"/>
            </w:pPr>
            <w:r>
              <w:rPr>
                <w:rFonts w:ascii="仿宋_GB2312" w:hAnsi="仿宋_GB2312" w:cs="仿宋_GB2312" w:eastAsia="仿宋_GB2312"/>
              </w:rPr>
              <w:t>服务方案 商务应答表.docx 服务内容及服务要求应答表.docx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符合法律、法规和采购文件中规定的其他实质性要求（合格）不符合法律、法规和采购文件中规定的其他实质性要求（不合格）</w:t>
            </w:r>
          </w:p>
        </w:tc>
        <w:tc>
          <w:tcPr>
            <w:tcW w:type="dxa" w:w="1661"/>
          </w:tcPr>
          <w:p>
            <w:pPr>
              <w:pStyle w:val="null3"/>
            </w:pPr>
            <w:r>
              <w:rPr>
                <w:rFonts w:ascii="仿宋_GB2312" w:hAnsi="仿宋_GB2312" w:cs="仿宋_GB2312" w:eastAsia="仿宋_GB2312"/>
              </w:rPr>
              <w:t>保证金缴纳凭证.docx 商务应答表.docx 服务内容及服务要求应答表.docx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jc w:val="left"/>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6.3.10谈判异议处理规则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