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2D926">
      <w:pPr>
        <w:shd w:val="clear"/>
        <w:jc w:val="center"/>
        <w:rPr>
          <w:rFonts w:hint="eastAsia" w:ascii="仿宋" w:hAnsi="仿宋" w:eastAsia="仿宋" w:cs="仿宋"/>
          <w:color w:val="auto"/>
          <w:sz w:val="44"/>
          <w:szCs w:val="44"/>
          <w:highlight w:val="none"/>
          <w:lang w:val="en-US" w:eastAsia="zh-CN"/>
        </w:rPr>
      </w:pPr>
      <w:r>
        <w:rPr>
          <w:rFonts w:hint="eastAsia" w:ascii="仿宋" w:hAnsi="仿宋" w:eastAsia="仿宋" w:cs="仿宋"/>
          <w:color w:val="auto"/>
          <w:sz w:val="44"/>
          <w:szCs w:val="44"/>
          <w:highlight w:val="none"/>
          <w:lang w:val="en-US" w:eastAsia="zh-CN"/>
        </w:rPr>
        <w:t>拟签订合同文本</w:t>
      </w:r>
    </w:p>
    <w:p w14:paraId="68518649">
      <w:pPr>
        <w:shd w:val="clear"/>
        <w:jc w:val="center"/>
        <w:rPr>
          <w:rFonts w:hint="default" w:ascii="仿宋" w:hAnsi="仿宋" w:eastAsia="仿宋" w:cs="仿宋"/>
          <w:color w:val="auto"/>
          <w:sz w:val="44"/>
          <w:szCs w:val="44"/>
          <w:highlight w:val="none"/>
          <w:lang w:val="en-US" w:eastAsia="zh-CN"/>
        </w:rPr>
      </w:pPr>
    </w:p>
    <w:p w14:paraId="544CB29A">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甲方（采购方）：</w:t>
      </w:r>
      <w:r>
        <w:rPr>
          <w:rFonts w:hint="eastAsia" w:ascii="仿宋" w:hAnsi="仿宋" w:eastAsia="仿宋" w:cs="仿宋"/>
          <w:color w:val="auto"/>
          <w:sz w:val="24"/>
          <w:szCs w:val="24"/>
          <w:highlight w:val="none"/>
          <w:u w:val="single"/>
        </w:rPr>
        <w:t>西安市畜牧技术推广中心</w:t>
      </w:r>
      <w:r>
        <w:rPr>
          <w:rFonts w:hint="eastAsia" w:ascii="仿宋" w:hAnsi="仿宋" w:eastAsia="仿宋" w:cs="仿宋"/>
          <w:color w:val="auto"/>
          <w:sz w:val="24"/>
          <w:szCs w:val="24"/>
          <w:highlight w:val="none"/>
        </w:rPr>
        <w:t xml:space="preserve">     </w:t>
      </w:r>
    </w:p>
    <w:p w14:paraId="7EA17F4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甲方住所地：</w:t>
      </w:r>
      <w:r>
        <w:rPr>
          <w:rFonts w:hint="eastAsia" w:ascii="仿宋" w:hAnsi="仿宋" w:eastAsia="仿宋" w:cs="仿宋"/>
          <w:color w:val="auto"/>
          <w:sz w:val="24"/>
          <w:szCs w:val="24"/>
          <w:highlight w:val="none"/>
          <w:u w:val="single"/>
        </w:rPr>
        <w:t>西安市雁塔区长安南路138号</w:t>
      </w:r>
      <w:r>
        <w:rPr>
          <w:rFonts w:hint="eastAsia" w:ascii="仿宋" w:hAnsi="仿宋" w:eastAsia="仿宋" w:cs="仿宋"/>
          <w:color w:val="auto"/>
          <w:sz w:val="24"/>
          <w:szCs w:val="24"/>
          <w:highlight w:val="none"/>
        </w:rPr>
        <w:t xml:space="preserve">    </w:t>
      </w:r>
    </w:p>
    <w:p w14:paraId="6779D9BC">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乙方（销售方）：</w:t>
      </w:r>
      <w:r>
        <w:rPr>
          <w:rFonts w:hint="eastAsia" w:ascii="仿宋" w:hAnsi="仿宋" w:eastAsia="仿宋" w:cs="仿宋"/>
          <w:color w:val="auto"/>
          <w:sz w:val="24"/>
          <w:szCs w:val="24"/>
          <w:highlight w:val="none"/>
          <w:u w:val="single"/>
          <w:lang w:val="en-US" w:eastAsia="zh-CN"/>
        </w:rPr>
        <w:t xml:space="preserve">                       </w:t>
      </w:r>
    </w:p>
    <w:p w14:paraId="443D389D">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乙方住所地：</w:t>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u w:val="single"/>
          <w:lang w:val="en-US" w:eastAsia="zh-CN"/>
        </w:rPr>
        <w:t xml:space="preserve">                           </w:t>
      </w:r>
    </w:p>
    <w:p w14:paraId="6F471E3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中华人民共和国民法典》、《中华人民共和国政府采购法》、《饲料和饲料添加剂管理条例》等相关法律法规的规定，经公开公正公平招标，双方在平等、自愿、互利的基础上，共同协商签订本合同，共同信守。</w:t>
      </w:r>
    </w:p>
    <w:p w14:paraId="2D52A948">
      <w:pPr>
        <w:shd w:val="clea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第一条、采购货物的基本情况</w:t>
      </w:r>
    </w:p>
    <w:p w14:paraId="3F7D54D2">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（一）货物清单</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51"/>
        <w:gridCol w:w="5153"/>
      </w:tblGrid>
      <w:tr w14:paraId="50C7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8" w:type="dxa"/>
            <w:shd w:val="clear" w:color="auto" w:fill="auto"/>
            <w:noWrap w:val="0"/>
            <w:vAlign w:val="center"/>
          </w:tcPr>
          <w:p w14:paraId="3276CAE9">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1451" w:type="dxa"/>
            <w:shd w:val="clear" w:color="auto" w:fill="auto"/>
            <w:noWrap w:val="0"/>
            <w:vAlign w:val="center"/>
          </w:tcPr>
          <w:p w14:paraId="452135CD">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5153" w:type="dxa"/>
            <w:shd w:val="clear" w:color="auto" w:fill="auto"/>
            <w:noWrap w:val="0"/>
            <w:vAlign w:val="center"/>
          </w:tcPr>
          <w:p w14:paraId="5D038F73">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质量基本要求</w:t>
            </w:r>
          </w:p>
        </w:tc>
      </w:tr>
      <w:tr w14:paraId="3943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8" w:type="dxa"/>
            <w:shd w:val="clear" w:color="auto" w:fill="auto"/>
            <w:noWrap w:val="0"/>
            <w:vAlign w:val="center"/>
          </w:tcPr>
          <w:p w14:paraId="4E81BEA9">
            <w:pPr>
              <w:shd w:val="clear"/>
              <w:spacing w:line="360" w:lineRule="auto"/>
              <w:jc w:val="center"/>
              <w:rPr>
                <w:rFonts w:hint="eastAsia" w:ascii="仿宋" w:hAnsi="仿宋" w:eastAsia="仿宋" w:cs="仿宋"/>
                <w:color w:val="auto"/>
                <w:sz w:val="24"/>
                <w:szCs w:val="24"/>
                <w:highlight w:val="none"/>
              </w:rPr>
            </w:pPr>
          </w:p>
        </w:tc>
        <w:tc>
          <w:tcPr>
            <w:tcW w:w="1451" w:type="dxa"/>
            <w:shd w:val="clear" w:color="auto" w:fill="auto"/>
            <w:noWrap w:val="0"/>
            <w:vAlign w:val="center"/>
          </w:tcPr>
          <w:p w14:paraId="32B8D2C1">
            <w:pPr>
              <w:shd w:val="clear"/>
              <w:spacing w:line="360" w:lineRule="auto"/>
              <w:jc w:val="center"/>
              <w:rPr>
                <w:rFonts w:hint="eastAsia" w:ascii="仿宋" w:hAnsi="仿宋" w:eastAsia="仿宋" w:cs="仿宋"/>
                <w:color w:val="auto"/>
                <w:sz w:val="24"/>
                <w:szCs w:val="24"/>
                <w:highlight w:val="none"/>
              </w:rPr>
            </w:pPr>
          </w:p>
        </w:tc>
        <w:tc>
          <w:tcPr>
            <w:tcW w:w="5153" w:type="dxa"/>
            <w:shd w:val="clear" w:color="auto" w:fill="auto"/>
            <w:noWrap w:val="0"/>
            <w:vAlign w:val="top"/>
          </w:tcPr>
          <w:p w14:paraId="36476371">
            <w:pPr>
              <w:shd w:val="clear"/>
              <w:spacing w:line="360" w:lineRule="auto"/>
              <w:rPr>
                <w:rFonts w:hint="eastAsia" w:ascii="仿宋" w:hAnsi="仿宋" w:eastAsia="仿宋" w:cs="仿宋"/>
                <w:color w:val="auto"/>
                <w:sz w:val="24"/>
                <w:szCs w:val="24"/>
                <w:highlight w:val="none"/>
              </w:rPr>
            </w:pPr>
          </w:p>
        </w:tc>
      </w:tr>
      <w:tr w14:paraId="3924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8" w:type="dxa"/>
            <w:shd w:val="clear" w:color="auto" w:fill="auto"/>
            <w:noWrap w:val="0"/>
            <w:vAlign w:val="center"/>
          </w:tcPr>
          <w:p w14:paraId="505F96EC">
            <w:pPr>
              <w:shd w:val="clear"/>
              <w:spacing w:line="360" w:lineRule="auto"/>
              <w:jc w:val="center"/>
              <w:rPr>
                <w:rFonts w:hint="eastAsia" w:ascii="仿宋" w:hAnsi="仿宋" w:eastAsia="仿宋" w:cs="仿宋"/>
                <w:color w:val="auto"/>
                <w:sz w:val="24"/>
                <w:szCs w:val="24"/>
                <w:highlight w:val="none"/>
              </w:rPr>
            </w:pPr>
          </w:p>
        </w:tc>
        <w:tc>
          <w:tcPr>
            <w:tcW w:w="1451" w:type="dxa"/>
            <w:shd w:val="clear" w:color="auto" w:fill="auto"/>
            <w:noWrap w:val="0"/>
            <w:vAlign w:val="center"/>
          </w:tcPr>
          <w:p w14:paraId="33B5F73A">
            <w:pPr>
              <w:shd w:val="clear"/>
              <w:spacing w:line="360" w:lineRule="auto"/>
              <w:jc w:val="center"/>
              <w:rPr>
                <w:rFonts w:hint="eastAsia" w:ascii="仿宋" w:hAnsi="仿宋" w:eastAsia="仿宋" w:cs="仿宋"/>
                <w:color w:val="auto"/>
                <w:sz w:val="24"/>
                <w:szCs w:val="24"/>
                <w:highlight w:val="none"/>
              </w:rPr>
            </w:pPr>
          </w:p>
        </w:tc>
        <w:tc>
          <w:tcPr>
            <w:tcW w:w="5153" w:type="dxa"/>
            <w:shd w:val="clear" w:color="auto" w:fill="auto"/>
            <w:noWrap w:val="0"/>
            <w:vAlign w:val="top"/>
          </w:tcPr>
          <w:p w14:paraId="73E0E11C">
            <w:pPr>
              <w:shd w:val="clear"/>
              <w:spacing w:line="360" w:lineRule="auto"/>
              <w:rPr>
                <w:rFonts w:hint="eastAsia" w:ascii="仿宋" w:hAnsi="仿宋" w:eastAsia="仿宋" w:cs="仿宋"/>
                <w:color w:val="auto"/>
                <w:sz w:val="24"/>
                <w:szCs w:val="24"/>
                <w:highlight w:val="none"/>
              </w:rPr>
            </w:pPr>
          </w:p>
        </w:tc>
      </w:tr>
      <w:tr w14:paraId="27922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8" w:type="dxa"/>
            <w:shd w:val="clear" w:color="auto" w:fill="auto"/>
            <w:noWrap w:val="0"/>
            <w:vAlign w:val="center"/>
          </w:tcPr>
          <w:p w14:paraId="2B8B2B9D">
            <w:pPr>
              <w:shd w:val="clear"/>
              <w:spacing w:line="360" w:lineRule="auto"/>
              <w:jc w:val="center"/>
              <w:rPr>
                <w:rFonts w:hint="eastAsia" w:ascii="仿宋" w:hAnsi="仿宋" w:eastAsia="仿宋" w:cs="仿宋"/>
                <w:color w:val="auto"/>
                <w:sz w:val="24"/>
                <w:szCs w:val="24"/>
                <w:highlight w:val="none"/>
              </w:rPr>
            </w:pPr>
          </w:p>
        </w:tc>
        <w:tc>
          <w:tcPr>
            <w:tcW w:w="1451" w:type="dxa"/>
            <w:shd w:val="clear" w:color="auto" w:fill="auto"/>
            <w:noWrap w:val="0"/>
            <w:vAlign w:val="center"/>
          </w:tcPr>
          <w:p w14:paraId="33751411">
            <w:pPr>
              <w:shd w:val="clear"/>
              <w:spacing w:line="360" w:lineRule="auto"/>
              <w:jc w:val="center"/>
              <w:rPr>
                <w:rFonts w:hint="eastAsia" w:ascii="仿宋" w:hAnsi="仿宋" w:eastAsia="仿宋" w:cs="仿宋"/>
                <w:color w:val="auto"/>
                <w:sz w:val="24"/>
                <w:szCs w:val="24"/>
                <w:highlight w:val="none"/>
              </w:rPr>
            </w:pPr>
          </w:p>
        </w:tc>
        <w:tc>
          <w:tcPr>
            <w:tcW w:w="5153" w:type="dxa"/>
            <w:shd w:val="clear" w:color="auto" w:fill="auto"/>
            <w:noWrap w:val="0"/>
            <w:vAlign w:val="top"/>
          </w:tcPr>
          <w:p w14:paraId="30C657E1">
            <w:pPr>
              <w:shd w:val="clear"/>
              <w:spacing w:line="360" w:lineRule="auto"/>
              <w:rPr>
                <w:rFonts w:hint="eastAsia" w:ascii="仿宋" w:hAnsi="仿宋" w:eastAsia="仿宋" w:cs="仿宋"/>
                <w:color w:val="auto"/>
                <w:sz w:val="24"/>
                <w:szCs w:val="24"/>
                <w:highlight w:val="none"/>
              </w:rPr>
            </w:pPr>
          </w:p>
        </w:tc>
      </w:tr>
      <w:tr w14:paraId="5004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8" w:type="dxa"/>
            <w:shd w:val="clear" w:color="auto" w:fill="auto"/>
            <w:noWrap w:val="0"/>
            <w:vAlign w:val="center"/>
          </w:tcPr>
          <w:p w14:paraId="077A50B5">
            <w:pPr>
              <w:shd w:val="clear"/>
              <w:spacing w:line="360" w:lineRule="auto"/>
              <w:jc w:val="center"/>
              <w:rPr>
                <w:rFonts w:hint="eastAsia" w:ascii="仿宋" w:hAnsi="仿宋" w:eastAsia="仿宋" w:cs="仿宋"/>
                <w:color w:val="auto"/>
                <w:sz w:val="24"/>
                <w:szCs w:val="24"/>
                <w:highlight w:val="none"/>
              </w:rPr>
            </w:pPr>
          </w:p>
        </w:tc>
        <w:tc>
          <w:tcPr>
            <w:tcW w:w="1451" w:type="dxa"/>
            <w:shd w:val="clear" w:color="auto" w:fill="auto"/>
            <w:noWrap w:val="0"/>
            <w:vAlign w:val="center"/>
          </w:tcPr>
          <w:p w14:paraId="78B8246E">
            <w:pPr>
              <w:shd w:val="clear"/>
              <w:spacing w:line="360" w:lineRule="auto"/>
              <w:jc w:val="center"/>
              <w:rPr>
                <w:rFonts w:hint="eastAsia" w:ascii="仿宋" w:hAnsi="仿宋" w:eastAsia="仿宋" w:cs="仿宋"/>
                <w:color w:val="auto"/>
                <w:sz w:val="24"/>
                <w:szCs w:val="24"/>
                <w:highlight w:val="none"/>
              </w:rPr>
            </w:pPr>
          </w:p>
        </w:tc>
        <w:tc>
          <w:tcPr>
            <w:tcW w:w="5153" w:type="dxa"/>
            <w:shd w:val="clear" w:color="auto" w:fill="auto"/>
            <w:noWrap w:val="0"/>
            <w:vAlign w:val="top"/>
          </w:tcPr>
          <w:p w14:paraId="055AFD56">
            <w:pPr>
              <w:shd w:val="clear"/>
              <w:spacing w:line="360" w:lineRule="auto"/>
              <w:rPr>
                <w:rFonts w:hint="eastAsia" w:ascii="仿宋" w:hAnsi="仿宋" w:eastAsia="仿宋" w:cs="仿宋"/>
                <w:color w:val="auto"/>
                <w:sz w:val="24"/>
                <w:szCs w:val="24"/>
                <w:highlight w:val="none"/>
              </w:rPr>
            </w:pPr>
          </w:p>
        </w:tc>
      </w:tr>
      <w:tr w14:paraId="3623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8" w:type="dxa"/>
            <w:shd w:val="clear" w:color="auto" w:fill="auto"/>
            <w:noWrap w:val="0"/>
            <w:vAlign w:val="center"/>
          </w:tcPr>
          <w:p w14:paraId="4F6D3FBC">
            <w:pPr>
              <w:shd w:val="clear"/>
              <w:spacing w:line="360" w:lineRule="auto"/>
              <w:jc w:val="center"/>
              <w:rPr>
                <w:rFonts w:hint="eastAsia" w:ascii="仿宋" w:hAnsi="仿宋" w:eastAsia="仿宋" w:cs="仿宋"/>
                <w:color w:val="auto"/>
                <w:sz w:val="24"/>
                <w:szCs w:val="24"/>
                <w:highlight w:val="none"/>
              </w:rPr>
            </w:pPr>
          </w:p>
        </w:tc>
        <w:tc>
          <w:tcPr>
            <w:tcW w:w="1451" w:type="dxa"/>
            <w:shd w:val="clear" w:color="auto" w:fill="auto"/>
            <w:noWrap w:val="0"/>
            <w:vAlign w:val="center"/>
          </w:tcPr>
          <w:p w14:paraId="3DB13D94">
            <w:pPr>
              <w:shd w:val="clear"/>
              <w:spacing w:line="360" w:lineRule="auto"/>
              <w:jc w:val="center"/>
              <w:rPr>
                <w:rFonts w:hint="eastAsia" w:ascii="仿宋" w:hAnsi="仿宋" w:eastAsia="仿宋" w:cs="仿宋"/>
                <w:color w:val="auto"/>
                <w:sz w:val="24"/>
                <w:szCs w:val="24"/>
                <w:highlight w:val="none"/>
              </w:rPr>
            </w:pPr>
          </w:p>
        </w:tc>
        <w:tc>
          <w:tcPr>
            <w:tcW w:w="5153" w:type="dxa"/>
            <w:shd w:val="clear" w:color="auto" w:fill="auto"/>
            <w:noWrap w:val="0"/>
            <w:vAlign w:val="top"/>
          </w:tcPr>
          <w:p w14:paraId="4E67D02F">
            <w:pPr>
              <w:shd w:val="clear"/>
              <w:spacing w:line="360" w:lineRule="auto"/>
              <w:rPr>
                <w:rFonts w:hint="eastAsia" w:ascii="仿宋" w:hAnsi="仿宋" w:eastAsia="仿宋" w:cs="仿宋"/>
                <w:color w:val="auto"/>
                <w:sz w:val="24"/>
                <w:szCs w:val="24"/>
                <w:highlight w:val="none"/>
              </w:rPr>
            </w:pPr>
          </w:p>
        </w:tc>
      </w:tr>
      <w:tr w14:paraId="09B45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8" w:type="dxa"/>
            <w:shd w:val="clear" w:color="auto" w:fill="auto"/>
            <w:noWrap w:val="0"/>
            <w:vAlign w:val="center"/>
          </w:tcPr>
          <w:p w14:paraId="0B00000F">
            <w:pPr>
              <w:shd w:val="clear"/>
              <w:spacing w:line="360" w:lineRule="auto"/>
              <w:jc w:val="center"/>
              <w:rPr>
                <w:rFonts w:hint="eastAsia" w:ascii="仿宋" w:hAnsi="仿宋" w:eastAsia="仿宋" w:cs="仿宋"/>
                <w:color w:val="auto"/>
                <w:sz w:val="24"/>
                <w:szCs w:val="24"/>
                <w:highlight w:val="none"/>
              </w:rPr>
            </w:pPr>
          </w:p>
        </w:tc>
        <w:tc>
          <w:tcPr>
            <w:tcW w:w="1451" w:type="dxa"/>
            <w:shd w:val="clear" w:color="auto" w:fill="auto"/>
            <w:noWrap w:val="0"/>
            <w:vAlign w:val="center"/>
          </w:tcPr>
          <w:p w14:paraId="281F5992">
            <w:pPr>
              <w:shd w:val="clear"/>
              <w:spacing w:line="360" w:lineRule="auto"/>
              <w:jc w:val="center"/>
              <w:rPr>
                <w:rFonts w:hint="eastAsia" w:ascii="仿宋" w:hAnsi="仿宋" w:eastAsia="仿宋" w:cs="仿宋"/>
                <w:color w:val="auto"/>
                <w:sz w:val="24"/>
                <w:szCs w:val="24"/>
                <w:highlight w:val="none"/>
              </w:rPr>
            </w:pPr>
          </w:p>
        </w:tc>
        <w:tc>
          <w:tcPr>
            <w:tcW w:w="5153" w:type="dxa"/>
            <w:shd w:val="clear" w:color="auto" w:fill="auto"/>
            <w:noWrap w:val="0"/>
            <w:vAlign w:val="center"/>
          </w:tcPr>
          <w:p w14:paraId="79FEC3D3">
            <w:pPr>
              <w:shd w:val="clear"/>
              <w:spacing w:line="360" w:lineRule="auto"/>
              <w:jc w:val="left"/>
              <w:rPr>
                <w:rFonts w:hint="eastAsia" w:ascii="仿宋" w:hAnsi="仿宋" w:eastAsia="仿宋" w:cs="仿宋"/>
                <w:color w:val="auto"/>
                <w:sz w:val="24"/>
                <w:szCs w:val="24"/>
                <w:highlight w:val="none"/>
              </w:rPr>
            </w:pPr>
          </w:p>
        </w:tc>
      </w:tr>
    </w:tbl>
    <w:p w14:paraId="281DEA49">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（二）货物质量除上述要求外，还应当符合以下标准：</w:t>
      </w:r>
    </w:p>
    <w:p w14:paraId="09FDA3C2">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1.农药残留物应当符合国家规定的标准。</w:t>
      </w:r>
    </w:p>
    <w:p w14:paraId="5A8E0CDB">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2.乙方需严格保证提供饲料的质量，应当符合国家及行业相应标准，保证新鲜、无毒、无污染、不发生变质。</w:t>
      </w:r>
    </w:p>
    <w:p w14:paraId="627AC9CD">
      <w:p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第二条、货物价格</w:t>
      </w:r>
    </w:p>
    <w:p w14:paraId="6B967B08">
      <w:pPr>
        <w:shd w:val="clea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（一）：合同</w:t>
      </w:r>
      <w:r>
        <w:rPr>
          <w:rFonts w:hint="eastAsia" w:ascii="仿宋" w:hAnsi="仿宋" w:eastAsia="仿宋" w:cs="仿宋"/>
          <w:color w:val="auto"/>
          <w:sz w:val="24"/>
          <w:szCs w:val="24"/>
          <w:highlight w:val="none"/>
          <w:lang w:val="en-US" w:eastAsia="zh-CN"/>
        </w:rPr>
        <w:t>最高执行价</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eastAsia="zh-CN"/>
        </w:rPr>
        <w:t>。</w:t>
      </w:r>
    </w:p>
    <w:p w14:paraId="3EB52486">
      <w:pPr>
        <w:shd w:val="clear"/>
        <w:spacing w:line="360"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（二）：本合同</w:t>
      </w:r>
      <w:r>
        <w:rPr>
          <w:rFonts w:hint="eastAsia" w:ascii="仿宋" w:hAnsi="仿宋" w:eastAsia="仿宋" w:cs="仿宋"/>
          <w:color w:val="auto"/>
          <w:sz w:val="24"/>
          <w:szCs w:val="24"/>
          <w:highlight w:val="none"/>
          <w:lang w:val="en-US" w:eastAsia="zh-CN"/>
        </w:rPr>
        <w:t>价款</w:t>
      </w:r>
      <w:r>
        <w:rPr>
          <w:rFonts w:hint="eastAsia" w:ascii="仿宋" w:hAnsi="仿宋" w:eastAsia="仿宋" w:cs="仿宋"/>
          <w:color w:val="auto"/>
          <w:sz w:val="24"/>
          <w:szCs w:val="24"/>
          <w:highlight w:val="none"/>
        </w:rPr>
        <w:t>已经包含研发、原料、加工、制造、包装、运输、装卸、检测等相关费用，乙方已经预计并自行承担可能因突发情况产生的额外费用，甲方无须再向乙方支付本合同规定之外的其他任何费用。</w:t>
      </w:r>
    </w:p>
    <w:p w14:paraId="5360AB4F">
      <w:p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第三条、订货方式及流程</w:t>
      </w:r>
    </w:p>
    <w:p w14:paraId="2B3DC40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）货物的订购</w:t>
      </w:r>
    </w:p>
    <w:p w14:paraId="12F7DC59">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甲方根据自身实际需求，提前向乙方订购相应品种和数量的饲料，乙方按照甲方发来的具体需求备货，并按照甲方的要求时间送至甲方饲料库验收。甲方对货物单独提出特别需求的应当按照甲方要求分割、分装。</w:t>
      </w:r>
    </w:p>
    <w:p w14:paraId="1C820C8A">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）突发情况预案</w:t>
      </w:r>
      <w:r>
        <w:rPr>
          <w:rFonts w:hint="eastAsia" w:ascii="仿宋" w:hAnsi="仿宋" w:eastAsia="仿宋" w:cs="仿宋"/>
          <w:color w:val="auto"/>
          <w:sz w:val="24"/>
          <w:szCs w:val="24"/>
          <w:highlight w:val="none"/>
          <w:lang w:val="en-US" w:eastAsia="zh-CN"/>
        </w:rPr>
        <w:t xml:space="preserve"> </w:t>
      </w:r>
    </w:p>
    <w:p w14:paraId="056750DA">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乙方应当制定相应的应急预案，在疫情防控、气象灾害等可能出现的突发状况下，按时保质保量向甲方供货。</w:t>
      </w:r>
    </w:p>
    <w:p w14:paraId="3D261DB2">
      <w:pPr>
        <w:shd w:val="clea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第四条、货物交接及验收要求</w:t>
      </w:r>
    </w:p>
    <w:p w14:paraId="7EE97CC6">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（一）货物运输及交货地点</w:t>
      </w:r>
    </w:p>
    <w:p w14:paraId="7DFF8C1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1.交货地点：陕西省西安市蓝田县孟村镇姚村西安市畜牧技术推广中心种公牛站。</w:t>
      </w:r>
    </w:p>
    <w:p w14:paraId="183AF80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2.供货期：</w:t>
      </w:r>
      <w:r>
        <w:rPr>
          <w:rFonts w:hint="eastAsia" w:ascii="仿宋" w:hAnsi="仿宋" w:eastAsia="仿宋" w:cs="仿宋"/>
          <w:color w:val="auto"/>
          <w:sz w:val="24"/>
          <w:szCs w:val="24"/>
          <w:highlight w:val="none"/>
          <w:lang w:val="en-US" w:eastAsia="zh-CN"/>
        </w:rPr>
        <w:t>2026年12月31日前分批供完。</w:t>
      </w:r>
    </w:p>
    <w:p w14:paraId="7B96D3BC">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3.运输费用及责任：由乙方负责货物运输，运输费乙方自理。对于货物在运输过程中可能出现的变质、损耗、损毁等情况，甲方不负任何责任。</w:t>
      </w:r>
    </w:p>
    <w:p w14:paraId="6F0F7A3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货物运输要求：乙方提供的货物包装箱清洁、卫生、无污染，货箱要有苫布苫盖；装卸时轻拿轻放，文明操作。乙方应保证运输工具清洁卫生，不能与有毒、有害物品混装、混运。乙方应当遵守行车规定，货物到达甲方指定地点并按甲方要求卸装完成前的一切安全责任由乙方负责。</w:t>
      </w:r>
    </w:p>
    <w:p w14:paraId="09B155FF">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（二）货物的验收</w:t>
      </w:r>
    </w:p>
    <w:p w14:paraId="7C30BE1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1.乙方将甲方采购的饲料送至甲方指定地点后，甲方指定工作人员对货物依照称量榜单核验，检验质量（初检）。</w:t>
      </w:r>
    </w:p>
    <w:p w14:paraId="5B430C42">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2.双方对品种、质量初检、数量确认无误后，填写《饲料入库验收单》并签字，甲乙双方各执一份。《饲料入库验收单》将作为双方结算采购数量的唯一依据。</w:t>
      </w:r>
    </w:p>
    <w:p w14:paraId="1BD6EAD1">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3.货品存在质量初检问题的，甲方人员在验收单上明确记载“送货不合格”字样，甲方拒收货物，乙方不能及时完成换货工作导致甲方产生的损失，由乙方承担。</w:t>
      </w:r>
    </w:p>
    <w:p w14:paraId="427B90D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运送的每批次货物都应当附质量检验报告，并在送达指定地点后，甲乙双方现场共同对本批次货物按照饲料检测采样要求进行采样密封签字规范留样保存，以备后查。若乙方不能到现场实施采样留存工作，则应书面来函对甲方留存采样样品予认可。</w:t>
      </w:r>
    </w:p>
    <w:p w14:paraId="478DC3BE">
      <w:p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五、货款结算方式</w:t>
      </w:r>
    </w:p>
    <w:p w14:paraId="39B8E444">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（一）结算方式</w:t>
      </w:r>
    </w:p>
    <w:p w14:paraId="08E42469">
      <w:pPr>
        <w:shd w:val="clear"/>
        <w:spacing w:line="360" w:lineRule="auto"/>
        <w:ind w:firstLine="480" w:firstLineChars="200"/>
        <w:rPr>
          <w:rFonts w:hint="eastAsia" w:ascii="仿宋" w:hAnsi="仿宋" w:eastAsia="仿宋" w:cs="仿宋"/>
          <w:color w:val="auto"/>
          <w:sz w:val="24"/>
          <w:szCs w:val="24"/>
          <w:highlight w:val="none"/>
        </w:rPr>
      </w:pPr>
      <w:bookmarkStart w:id="0" w:name="_GoBack"/>
      <w:bookmarkEnd w:id="0"/>
      <w:r>
        <w:rPr>
          <w:rFonts w:hint="eastAsia" w:ascii="仿宋" w:hAnsi="仿宋" w:eastAsia="仿宋" w:cs="仿宋"/>
          <w:color w:val="auto"/>
          <w:sz w:val="24"/>
          <w:szCs w:val="24"/>
          <w:highlight w:val="none"/>
        </w:rPr>
        <w:t>据实结算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乙方开始供货后，每自然月截止20日，甲乙双方将核对双方于上一个自然月签署的《饲料入库验收单》，双方共同确认在该自然月内甲方所采购的货品种及数量。</w:t>
      </w:r>
    </w:p>
    <w:p w14:paraId="2972E626">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乙方按照每批次送货出具正式发票，甲方在收到乙方送达的发票后以银行转帐方式向本合同内记载的乙方账户一次性付清本次送货的货款。最终结算总额不得超过本项目采购预算</w:t>
      </w:r>
      <w:r>
        <w:rPr>
          <w:rFonts w:hint="eastAsia" w:ascii="仿宋" w:hAnsi="仿宋" w:eastAsia="仿宋" w:cs="仿宋"/>
          <w:color w:val="auto"/>
          <w:sz w:val="24"/>
          <w:szCs w:val="24"/>
          <w:highlight w:val="none"/>
          <w:lang w:eastAsia="zh-CN"/>
        </w:rPr>
        <w:t>。</w:t>
      </w:r>
    </w:p>
    <w:p w14:paraId="1E57237C">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（二）财务及审计要求</w:t>
      </w:r>
    </w:p>
    <w:p w14:paraId="5AEA6EC9">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1.乙方有义务配合甲方接受有关部门及第三方进行审计。</w:t>
      </w:r>
    </w:p>
    <w:p w14:paraId="085A76BE">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2.乙方出具的发票应当符合国家有关财务税收相关规定。乙方若提供不符合规定的发票，甲方有权拒绝支付货款，并且不承担任何违约责任。</w:t>
      </w:r>
    </w:p>
    <w:p w14:paraId="7643F116">
      <w:p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八、违约责任</w:t>
      </w:r>
    </w:p>
    <w:p w14:paraId="5D96E3FE">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（一）乙方未按照甲方要求的合理时间内供货的，供货每延误1次，甲方有权扣除当月货款金额10%作为违约金。 </w:t>
      </w:r>
    </w:p>
    <w:p w14:paraId="4918420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（二）乙方在供货过程中，若出现质量问题或数量不足等情况，乙方需按甲方要求无条件退换货的，相关费用全部由乙方承担。</w:t>
      </w:r>
    </w:p>
    <w:p w14:paraId="4197D798">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（三）因乙方货物质量问题或供货延误，由此给甲方造成的一切损失，乙方应当承担全部赔偿并法律和经济责任。 </w:t>
      </w:r>
    </w:p>
    <w:p w14:paraId="770E5A7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未按合同要求提供产品、服务或产品、服务质量不能满足技术要求，乙方必须无条件按甲方要求的时限更换产品或提供符合要求的服务，提高技术，完善质量，否则，甲方有权单方解除本合同(合同自解除通知送达乙方之日视为解除)，并按以下两种方式对乙方的违约行为进行追究。</w:t>
      </w:r>
    </w:p>
    <w:p w14:paraId="2479ADB3">
      <w:p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九、合同争议的解决</w:t>
      </w:r>
    </w:p>
    <w:p w14:paraId="183ABC5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本合同履行中发生争议的，当事人双方应协商解决，协商不成时，可以向甲方住所地西安市雁塔区人民法院提起诉讼。</w:t>
      </w:r>
    </w:p>
    <w:p w14:paraId="075829A9">
      <w:p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十、其他事项</w:t>
      </w:r>
    </w:p>
    <w:p w14:paraId="50502CC1">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（一）本合同须经甲、乙双方的法定代表人（或授权代表）在合同书上签字并加盖本单位公章后正式生效。</w:t>
      </w:r>
    </w:p>
    <w:p w14:paraId="3003A62A">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（二）合同生效后，甲、乙双方须严格执行本合同条款的规定，全面履行合同，违者按《中华人民共和国民法典》的有关规定及本合同有关约定承担相应责任。</w:t>
      </w:r>
    </w:p>
    <w:p w14:paraId="17392EE1">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 本合同一式陆份，均具备同等法律效力，双方各执贰份，监管部门备案壹份、招标代理机构存档壹份。</w:t>
      </w:r>
    </w:p>
    <w:p w14:paraId="18F18775">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（四）本合同如有未尽事宜，甲、乙双方协商解决。</w:t>
      </w:r>
    </w:p>
    <w:p w14:paraId="554E41CF">
      <w:pPr>
        <w:pStyle w:val="5"/>
        <w:shd w:val="clear"/>
        <w:spacing w:line="360" w:lineRule="auto"/>
        <w:rPr>
          <w:rFonts w:hint="eastAsia" w:ascii="仿宋" w:hAnsi="仿宋" w:eastAsia="仿宋" w:cs="仿宋"/>
          <w:color w:val="auto"/>
          <w:sz w:val="24"/>
          <w:szCs w:val="24"/>
          <w:highlight w:val="none"/>
        </w:rPr>
      </w:pP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1"/>
        <w:gridCol w:w="4202"/>
      </w:tblGrid>
      <w:tr w14:paraId="2CC8F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7040C805">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202" w:type="dxa"/>
            <w:noWrap w:val="0"/>
            <w:vAlign w:val="center"/>
          </w:tcPr>
          <w:p w14:paraId="483E4DD3">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4F07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70241FF0">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0"/>
            <w:vAlign w:val="center"/>
          </w:tcPr>
          <w:p w14:paraId="0914F176">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652C1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034B3741">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单位地址： </w:t>
            </w:r>
          </w:p>
        </w:tc>
        <w:tc>
          <w:tcPr>
            <w:tcW w:w="4202" w:type="dxa"/>
            <w:noWrap w:val="0"/>
            <w:vAlign w:val="center"/>
          </w:tcPr>
          <w:p w14:paraId="6D81D0A3">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单位地址：</w:t>
            </w:r>
          </w:p>
        </w:tc>
      </w:tr>
      <w:tr w14:paraId="56388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2FDF6FF8">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授权代表： </w:t>
            </w:r>
          </w:p>
        </w:tc>
        <w:tc>
          <w:tcPr>
            <w:tcW w:w="4202" w:type="dxa"/>
            <w:noWrap w:val="0"/>
            <w:vAlign w:val="center"/>
          </w:tcPr>
          <w:p w14:paraId="7D8B40F0">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w:t>
            </w:r>
          </w:p>
        </w:tc>
      </w:tr>
      <w:tr w14:paraId="68246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40FF5AEC">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经办人：</w:t>
            </w:r>
          </w:p>
        </w:tc>
        <w:tc>
          <w:tcPr>
            <w:tcW w:w="4202" w:type="dxa"/>
            <w:noWrap w:val="0"/>
            <w:vAlign w:val="center"/>
          </w:tcPr>
          <w:p w14:paraId="3ED7BEAF">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经办人：</w:t>
            </w:r>
          </w:p>
        </w:tc>
      </w:tr>
      <w:tr w14:paraId="31905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751E26F6">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0"/>
            <w:vAlign w:val="center"/>
          </w:tcPr>
          <w:p w14:paraId="6F1ABE5C">
            <w:pPr>
              <w:shd w:val="clear"/>
              <w:autoSpaceDE w:val="0"/>
              <w:autoSpaceDN w:val="0"/>
              <w:adjustRightInd w:val="0"/>
              <w:spacing w:line="360" w:lineRule="auto"/>
              <w:ind w:left="900" w:hanging="720" w:hanging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23E43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51A078FC">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0"/>
            <w:vAlign w:val="center"/>
          </w:tcPr>
          <w:p w14:paraId="14237163">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5E855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1F7BE930">
            <w:pPr>
              <w:shd w:val="clear"/>
              <w:autoSpaceDE w:val="0"/>
              <w:autoSpaceDN w:val="0"/>
              <w:adjustRightInd w:val="0"/>
              <w:spacing w:line="360" w:lineRule="auto"/>
              <w:rPr>
                <w:rFonts w:hint="eastAsia" w:ascii="仿宋" w:hAnsi="仿宋" w:eastAsia="仿宋" w:cs="仿宋"/>
                <w:color w:val="auto"/>
                <w:sz w:val="24"/>
                <w:szCs w:val="24"/>
                <w:highlight w:val="none"/>
              </w:rPr>
            </w:pPr>
          </w:p>
        </w:tc>
        <w:tc>
          <w:tcPr>
            <w:tcW w:w="4202" w:type="dxa"/>
            <w:noWrap w:val="0"/>
            <w:vAlign w:val="center"/>
          </w:tcPr>
          <w:p w14:paraId="365B5B24">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39C95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noWrap w:val="0"/>
            <w:vAlign w:val="center"/>
          </w:tcPr>
          <w:p w14:paraId="15E239B4">
            <w:pPr>
              <w:shd w:val="clear"/>
              <w:autoSpaceDE w:val="0"/>
              <w:autoSpaceDN w:val="0"/>
              <w:adjustRightInd w:val="0"/>
              <w:spacing w:line="360" w:lineRule="auto"/>
              <w:rPr>
                <w:rFonts w:hint="eastAsia" w:ascii="仿宋" w:hAnsi="仿宋" w:eastAsia="仿宋" w:cs="仿宋"/>
                <w:color w:val="auto"/>
                <w:sz w:val="24"/>
                <w:szCs w:val="24"/>
                <w:highlight w:val="none"/>
              </w:rPr>
            </w:pPr>
          </w:p>
        </w:tc>
        <w:tc>
          <w:tcPr>
            <w:tcW w:w="4202" w:type="dxa"/>
            <w:noWrap w:val="0"/>
            <w:vAlign w:val="center"/>
          </w:tcPr>
          <w:p w14:paraId="54A07B54">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bl>
    <w:p w14:paraId="7FD221A9">
      <w:pPr>
        <w:shd w:val="clear"/>
        <w:rPr>
          <w:color w:val="auto"/>
          <w:highlight w:val="none"/>
        </w:rPr>
      </w:pPr>
    </w:p>
    <w:sectPr>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F74828"/>
    <w:rsid w:val="001106B9"/>
    <w:rsid w:val="00115951"/>
    <w:rsid w:val="00146F00"/>
    <w:rsid w:val="001D7ACD"/>
    <w:rsid w:val="00225448"/>
    <w:rsid w:val="00266973"/>
    <w:rsid w:val="00396F0D"/>
    <w:rsid w:val="00397EF1"/>
    <w:rsid w:val="003A0153"/>
    <w:rsid w:val="003A1506"/>
    <w:rsid w:val="003A3137"/>
    <w:rsid w:val="00432023"/>
    <w:rsid w:val="0044105C"/>
    <w:rsid w:val="004A701A"/>
    <w:rsid w:val="004B7464"/>
    <w:rsid w:val="004C03E4"/>
    <w:rsid w:val="005F2793"/>
    <w:rsid w:val="006E45F4"/>
    <w:rsid w:val="00785F83"/>
    <w:rsid w:val="00840219"/>
    <w:rsid w:val="008655ED"/>
    <w:rsid w:val="008911F7"/>
    <w:rsid w:val="008945F6"/>
    <w:rsid w:val="008A7CCE"/>
    <w:rsid w:val="00A1601E"/>
    <w:rsid w:val="00AF6C9D"/>
    <w:rsid w:val="00B84522"/>
    <w:rsid w:val="00D10E50"/>
    <w:rsid w:val="00DA520D"/>
    <w:rsid w:val="00E84E65"/>
    <w:rsid w:val="00F10A9E"/>
    <w:rsid w:val="00F16A01"/>
    <w:rsid w:val="00F359CA"/>
    <w:rsid w:val="00F74828"/>
    <w:rsid w:val="00FA293E"/>
    <w:rsid w:val="00FA5F59"/>
    <w:rsid w:val="00FF1A8B"/>
    <w:rsid w:val="01FB2325"/>
    <w:rsid w:val="04F80D9E"/>
    <w:rsid w:val="0D281998"/>
    <w:rsid w:val="0DF9321F"/>
    <w:rsid w:val="11FC7880"/>
    <w:rsid w:val="12FD14DE"/>
    <w:rsid w:val="175F7283"/>
    <w:rsid w:val="1FC814F4"/>
    <w:rsid w:val="21843051"/>
    <w:rsid w:val="22E807CE"/>
    <w:rsid w:val="2378337E"/>
    <w:rsid w:val="2B4B0DD7"/>
    <w:rsid w:val="2FF344DB"/>
    <w:rsid w:val="31A17F44"/>
    <w:rsid w:val="31C3610C"/>
    <w:rsid w:val="37295614"/>
    <w:rsid w:val="3D4A6A5A"/>
    <w:rsid w:val="3EA537E3"/>
    <w:rsid w:val="41037F0F"/>
    <w:rsid w:val="417D58F0"/>
    <w:rsid w:val="41D32AA4"/>
    <w:rsid w:val="44AD06F3"/>
    <w:rsid w:val="5079410E"/>
    <w:rsid w:val="5EA20CD3"/>
    <w:rsid w:val="68437083"/>
    <w:rsid w:val="691F3C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5"/>
    <w:qFormat/>
    <w:uiPriority w:val="0"/>
    <w:pPr>
      <w:keepNext/>
      <w:keepLines/>
      <w:autoSpaceDE w:val="0"/>
      <w:autoSpaceDN w:val="0"/>
      <w:adjustRightInd w:val="0"/>
      <w:spacing w:after="120" w:line="300" w:lineRule="auto"/>
      <w:outlineLvl w:val="0"/>
    </w:pPr>
    <w:rPr>
      <w:rFonts w:ascii="宋体" w:hAnsi="Times New Roman"/>
      <w:bCs w:val="0"/>
      <w:kern w:val="44"/>
      <w:szCs w:val="20"/>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6"/>
    <w:basedOn w:val="1"/>
    <w:next w:val="1"/>
    <w:link w:val="16"/>
    <w:unhideWhenUsed/>
    <w:qFormat/>
    <w:uiPriority w:val="0"/>
    <w:pPr>
      <w:keepNext/>
      <w:keepLines/>
      <w:wordWrap w:val="0"/>
      <w:adjustRightInd w:val="0"/>
      <w:snapToGrid w:val="0"/>
      <w:spacing w:line="360" w:lineRule="auto"/>
      <w:ind w:firstLine="480" w:firstLineChars="200"/>
      <w:jc w:val="center"/>
      <w:outlineLvl w:val="5"/>
    </w:pPr>
    <w:rPr>
      <w:rFonts w:ascii="宋体" w:hAnsi="宋体" w:cs="宋体"/>
      <w:b/>
      <w:sz w:val="28"/>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3">
    <w:name w:val="Title"/>
    <w:basedOn w:val="4"/>
    <w:next w:val="1"/>
    <w:qFormat/>
    <w:uiPriority w:val="0"/>
    <w:pPr>
      <w:spacing w:before="240" w:after="60"/>
      <w:jc w:val="center"/>
      <w:outlineLvl w:val="0"/>
    </w:pPr>
    <w:rPr>
      <w:rFonts w:ascii="Cambria" w:hAnsi="Cambria"/>
      <w:b/>
      <w:bCs/>
      <w:sz w:val="32"/>
      <w:szCs w:val="32"/>
    </w:rPr>
  </w:style>
  <w:style w:type="paragraph" w:styleId="4">
    <w:name w:val="List 2"/>
    <w:basedOn w:val="1"/>
    <w:qFormat/>
    <w:uiPriority w:val="0"/>
    <w:pPr>
      <w:ind w:left="100" w:leftChars="200" w:hanging="200" w:hangingChars="200"/>
      <w:contextualSpacing/>
    </w:p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annotation text"/>
    <w:basedOn w:val="1"/>
    <w:qFormat/>
    <w:uiPriority w:val="0"/>
    <w:pPr>
      <w:jc w:val="left"/>
    </w:pPr>
  </w:style>
  <w:style w:type="paragraph" w:styleId="9">
    <w:name w:val="Body Text"/>
    <w:basedOn w:val="1"/>
    <w:next w:val="1"/>
    <w:link w:val="17"/>
    <w:qFormat/>
    <w:uiPriority w:val="0"/>
    <w:pPr>
      <w:tabs>
        <w:tab w:val="left" w:pos="567"/>
      </w:tabs>
      <w:spacing w:before="120" w:line="22" w:lineRule="atLeast"/>
    </w:pPr>
    <w:rPr>
      <w:rFonts w:ascii="宋体" w:hAnsi="宋体"/>
      <w:sz w:val="24"/>
    </w:rPr>
  </w:style>
  <w:style w:type="paragraph" w:styleId="10">
    <w:name w:val="Balloon Text"/>
    <w:basedOn w:val="1"/>
    <w:link w:val="18"/>
    <w:qFormat/>
    <w:uiPriority w:val="0"/>
    <w:rPr>
      <w:sz w:val="18"/>
      <w:szCs w:val="18"/>
    </w:rPr>
  </w:style>
  <w:style w:type="paragraph" w:styleId="11">
    <w:name w:val="footer"/>
    <w:basedOn w:val="1"/>
    <w:link w:val="19"/>
    <w:qFormat/>
    <w:uiPriority w:val="99"/>
    <w:pPr>
      <w:tabs>
        <w:tab w:val="center" w:pos="4153"/>
        <w:tab w:val="right" w:pos="8306"/>
      </w:tabs>
      <w:snapToGrid w:val="0"/>
      <w:jc w:val="left"/>
    </w:pPr>
    <w:rPr>
      <w:sz w:val="18"/>
      <w:szCs w:val="18"/>
    </w:rPr>
  </w:style>
  <w:style w:type="paragraph" w:styleId="12">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标题 1 Char"/>
    <w:link w:val="2"/>
    <w:qFormat/>
    <w:uiPriority w:val="0"/>
    <w:rPr>
      <w:rFonts w:ascii="宋体" w:hAnsi="Times New Roman"/>
      <w:kern w:val="44"/>
      <w:szCs w:val="20"/>
    </w:rPr>
  </w:style>
  <w:style w:type="character" w:customStyle="1" w:styleId="16">
    <w:name w:val="标题 6 Char"/>
    <w:basedOn w:val="14"/>
    <w:link w:val="6"/>
    <w:semiHidden/>
    <w:qFormat/>
    <w:uiPriority w:val="0"/>
    <w:rPr>
      <w:rFonts w:ascii="宋体" w:hAnsi="宋体" w:eastAsia="宋体" w:cs="宋体"/>
      <w:b/>
      <w:kern w:val="2"/>
      <w:sz w:val="28"/>
      <w:szCs w:val="24"/>
    </w:rPr>
  </w:style>
  <w:style w:type="character" w:customStyle="1" w:styleId="17">
    <w:name w:val="正文文本 Char"/>
    <w:basedOn w:val="14"/>
    <w:link w:val="9"/>
    <w:qFormat/>
    <w:uiPriority w:val="0"/>
    <w:rPr>
      <w:rFonts w:ascii="宋体" w:hAnsi="宋体" w:eastAsia="宋体" w:cs="Times New Roman"/>
      <w:kern w:val="2"/>
      <w:sz w:val="24"/>
      <w:szCs w:val="24"/>
    </w:rPr>
  </w:style>
  <w:style w:type="character" w:customStyle="1" w:styleId="18">
    <w:name w:val="批注框文本 Char"/>
    <w:basedOn w:val="14"/>
    <w:link w:val="10"/>
    <w:qFormat/>
    <w:uiPriority w:val="0"/>
    <w:rPr>
      <w:rFonts w:ascii="Times New Roman" w:hAnsi="Times New Roman" w:eastAsia="宋体" w:cs="Times New Roman"/>
      <w:kern w:val="2"/>
      <w:sz w:val="18"/>
      <w:szCs w:val="18"/>
    </w:rPr>
  </w:style>
  <w:style w:type="character" w:customStyle="1" w:styleId="19">
    <w:name w:val="页脚 Char"/>
    <w:basedOn w:val="14"/>
    <w:link w:val="11"/>
    <w:qFormat/>
    <w:uiPriority w:val="99"/>
    <w:rPr>
      <w:rFonts w:ascii="Times New Roman" w:hAnsi="Times New Roman" w:eastAsia="宋体" w:cs="Times New Roman"/>
      <w:kern w:val="2"/>
      <w:sz w:val="18"/>
      <w:szCs w:val="18"/>
    </w:rPr>
  </w:style>
  <w:style w:type="character" w:customStyle="1" w:styleId="20">
    <w:name w:val="页眉 Char"/>
    <w:basedOn w:val="14"/>
    <w:link w:val="12"/>
    <w:qFormat/>
    <w:uiPriority w:val="0"/>
    <w:rPr>
      <w:rFonts w:ascii="Times New Roman" w:hAnsi="Times New Roman" w:eastAsia="宋体" w:cs="Times New Roman"/>
      <w:kern w:val="2"/>
      <w:sz w:val="18"/>
      <w:szCs w:val="18"/>
    </w:rPr>
  </w:style>
  <w:style w:type="paragraph" w:customStyle="1" w:styleId="2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2015</Words>
  <Characters>2037</Characters>
  <Lines>123</Lines>
  <Paragraphs>34</Paragraphs>
  <TotalTime>0</TotalTime>
  <ScaleCrop>false</ScaleCrop>
  <LinksUpToDate>false</LinksUpToDate>
  <CharactersWithSpaces>2114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2024-08-21T17:32:00Z</dcterms:created>
  <dc:creator>HP</dc:creator>
  <cp:lastModifiedBy>Administrator</cp:lastModifiedBy>
  <dcterms:modified xsi:type="dcterms:W3CDTF">2026-07-16T09:19:53Z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62D7380B48C14B7C952FD6ED8A75F347_13</vt:lpwstr>
  </property>
  <property fmtid="{D5CDD505-2E9C-101B-9397-08002B2CF9AE}" pid="4" name="KSOTemplateDocerSaveRecord">
    <vt:lpwstr>eyJoZGlkIjoiYmI0OWJlNDk2Nzg4MDJiOTY5NjcwNTAyYWU4NjM0OGYiLCJ1c2VySWQiOiIzNzA0MjM3MzgifQ==</vt:lpwstr>
  </property>
</Properties>
</file>