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版本号：0617-2624FZ100220260508001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CA电子签名认证费及设备维保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0617-2624FZ1002</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CA电子签名认证费及设备维保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CA电子签名认证费及设备维保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电子签名法》《密码法》《电子病历应用管理规范》等法规要求，医院现有CA电子签名系统证书已到期/即将到期。为保障电子病历、医嘱、处方、检查检验报告等医疗文书合法有效、防篡改、可追溯，维持HIS、LIS、PACS、电子病历等系统电子签名功能正常运行，防范身份冒用、数据泄露、责任不清等安全风险，特开展本次证书更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1、法定代表人身份证明文件及法定代表人授权书：1.法定代表人直接参与磋商的的仅提供《法定代表人身份证明文件》； 2.授权代表参与磋商的同时提供《法定代表人身份证明文件》及《法定代表人授权书》</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3、西安市第一医院职工及其亲属投资举办的企业参加投标（提供承诺函）：西安市第一医院职工及其亲属投资举办的企业参加投标（提供承诺函）</w:t>
      </w:r>
    </w:p>
    <w:p>
      <w:pPr>
        <w:pStyle w:val="null3"/>
      </w:pPr>
      <w:r>
        <w:rPr>
          <w:rFonts w:ascii="仿宋_GB2312" w:hAnsi="仿宋_GB2312" w:cs="仿宋_GB2312" w:eastAsia="仿宋_GB2312"/>
        </w:rPr>
        <w:t>4、控股管理关系：投标人与其他投标单位无交叉控股股东、无交叉兼任高级管理人员及涉嫌联合围标、串标行为，无采购单位和招标代理机构职工在该单位兼职的情况，不向采购单位和代理机构相关人员输送利益等行贿行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lt;招标代理服务收费管理暂行办法&gt;的通知》（计价格[2002]1980号）规定标准下浮20%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联系人：综合监督管理处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电子签名法》《密码法》《电子病历应用管理规范》等法规要求，医院现有CA电子签名系统证书已到期/即将到期。为保障电子病历、医嘱、处方、检查检验报告等医疗文书合法有效、防篡改、可追溯，维持HIS、LIS、PACS、电子病历等系统电子签名功能正常运行，防范身份冒用、数据泄露、责任不清等安全风险，特开展本次证书更新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CA电子签名认证费及设备维保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标的名称：CA电子签名认证费及设备维保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5"/>
            </w:tblGrid>
            <w:tr>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医院现状</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医院现已具备完善的电子认证服务体系，全面应用个人数字证书、设备证书及患者签名证书，分别用于医护人员身份认证与电子签名、医疗设备安全接入、患者知情同意书电子签署，均实行有效期管理。现有证书即将到期，到期后将导致业务系统中断、诊疗流程受阻，现需采购两年期数字证书更新</w:t>
                  </w:r>
                  <w:r>
                    <w:rPr>
                      <w:rFonts w:ascii="仿宋_GB2312" w:hAnsi="仿宋_GB2312" w:cs="仿宋_GB2312" w:eastAsia="仿宋_GB2312"/>
                      <w:sz w:val="21"/>
                    </w:rPr>
                    <w:t>维保</w:t>
                  </w:r>
                  <w:r>
                    <w:rPr>
                      <w:rFonts w:ascii="仿宋_GB2312" w:hAnsi="仿宋_GB2312" w:cs="仿宋_GB2312" w:eastAsia="仿宋_GB2312"/>
                      <w:sz w:val="21"/>
                    </w:rPr>
                    <w:t>服务，确保证书持续有效、业务连续运行、信息安全合规。</w:t>
                  </w: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项目目标：</w:t>
                  </w:r>
                </w:p>
                <w:p>
                  <w:pPr>
                    <w:pStyle w:val="null3"/>
                    <w:ind w:firstLine="420"/>
                    <w:jc w:val="both"/>
                  </w:pPr>
                  <w:r>
                    <w:rPr>
                      <w:rFonts w:ascii="仿宋_GB2312" w:hAnsi="仿宋_GB2312" w:cs="仿宋_GB2312" w:eastAsia="仿宋_GB2312"/>
                      <w:sz w:val="21"/>
                    </w:rPr>
                    <w:t>1.完成全院医护、行政、医技人员数字证书批量更新/续费，符合国家密码标准。</w:t>
                  </w:r>
                </w:p>
                <w:p>
                  <w:pPr>
                    <w:pStyle w:val="null3"/>
                    <w:ind w:firstLine="403"/>
                    <w:jc w:val="both"/>
                  </w:pPr>
                  <w:r>
                    <w:rPr>
                      <w:rFonts w:ascii="仿宋_GB2312" w:hAnsi="仿宋_GB2312" w:cs="仿宋_GB2312" w:eastAsia="仿宋_GB2312"/>
                      <w:sz w:val="21"/>
                    </w:rPr>
                    <w:t>2. 保障电子签名法律效力、系统稳定衔接、业务不中断。</w:t>
                  </w:r>
                </w:p>
                <w:p>
                  <w:pPr>
                    <w:pStyle w:val="null3"/>
                    <w:ind w:firstLine="403"/>
                    <w:jc w:val="both"/>
                  </w:pPr>
                  <w:r>
                    <w:rPr>
                      <w:rFonts w:ascii="仿宋_GB2312" w:hAnsi="仿宋_GB2312" w:cs="仿宋_GB2312" w:eastAsia="仿宋_GB2312"/>
                      <w:sz w:val="21"/>
                    </w:rPr>
                    <w:t>3. 完善身份认证、权限管控、时间戳、抗抵赖机制，满足电子病历评级、等保、医保合规要求。</w:t>
                  </w: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维保服务要求：</w:t>
                  </w:r>
                </w:p>
                <w:p>
                  <w:pPr>
                    <w:pStyle w:val="null3"/>
                    <w:ind w:firstLine="400"/>
                    <w:jc w:val="both"/>
                  </w:pPr>
                  <w:r>
                    <w:rPr>
                      <w:rFonts w:ascii="仿宋_GB2312" w:hAnsi="仿宋_GB2312" w:cs="仿宋_GB2312" w:eastAsia="仿宋_GB2312"/>
                      <w:sz w:val="21"/>
                    </w:rPr>
                    <w:t>本项目为个人数字证书、设备证书、患者签名证书更新维保服务</w:t>
                  </w:r>
                  <w:r>
                    <w:rPr>
                      <w:rFonts w:ascii="仿宋_GB2312" w:hAnsi="仿宋_GB2312" w:cs="仿宋_GB2312" w:eastAsia="仿宋_GB2312"/>
                      <w:sz w:val="21"/>
                    </w:rPr>
                    <w:t>，服务商须提供专业、高效、稳定的证书全生命周期支撑，确保证书合法有效、系统运行不间断、诊疗业务不受影响。服务团队须熟悉医疗行业电子认证应用规范，具备快速响应、现场处理、应急处置能力，建立标准化服务流程与完善保障体系，满足医院</w:t>
                  </w:r>
                  <w:r>
                    <w:rPr>
                      <w:rFonts w:ascii="仿宋_GB2312" w:hAnsi="仿宋_GB2312" w:cs="仿宋_GB2312" w:eastAsia="仿宋_GB2312"/>
                      <w:sz w:val="21"/>
                    </w:rPr>
                    <w:t>7×24 小时业务运行需求。</w:t>
                  </w:r>
                </w:p>
                <w:p>
                  <w:pPr>
                    <w:pStyle w:val="null3"/>
                    <w:ind w:firstLine="422"/>
                    <w:jc w:val="both"/>
                  </w:pPr>
                  <w:r>
                    <w:rPr>
                      <w:rFonts w:ascii="仿宋_GB2312" w:hAnsi="仿宋_GB2312" w:cs="仿宋_GB2312" w:eastAsia="仿宋_GB2312"/>
                      <w:sz w:val="21"/>
                      <w:b/>
                    </w:rPr>
                    <w:t>1、个人数字证书更新服务</w:t>
                  </w:r>
                </w:p>
                <w:p>
                  <w:pPr>
                    <w:pStyle w:val="null3"/>
                    <w:ind w:firstLine="371"/>
                    <w:jc w:val="both"/>
                  </w:pPr>
                  <w:r>
                    <w:rPr>
                      <w:rFonts w:ascii="仿宋_GB2312" w:hAnsi="仿宋_GB2312" w:cs="仿宋_GB2312" w:eastAsia="仿宋_GB2312"/>
                      <w:sz w:val="21"/>
                    </w:rPr>
                    <w:t>1.1、标识个人用户网络身份</w:t>
                  </w:r>
                </w:p>
                <w:p>
                  <w:pPr>
                    <w:pStyle w:val="null3"/>
                    <w:ind w:firstLine="371"/>
                    <w:jc w:val="both"/>
                  </w:pPr>
                  <w:r>
                    <w:rPr>
                      <w:rFonts w:ascii="仿宋_GB2312" w:hAnsi="仿宋_GB2312" w:cs="仿宋_GB2312" w:eastAsia="仿宋_GB2312"/>
                      <w:sz w:val="21"/>
                    </w:rPr>
                    <w:t>1.2、符合原卫生部《卫生系统数字证书格式规范（试行）》</w:t>
                  </w:r>
                </w:p>
                <w:p>
                  <w:pPr>
                    <w:pStyle w:val="null3"/>
                    <w:ind w:firstLine="371"/>
                    <w:jc w:val="both"/>
                  </w:pPr>
                  <w:r>
                    <w:rPr>
                      <w:rFonts w:ascii="仿宋_GB2312" w:hAnsi="仿宋_GB2312" w:cs="仿宋_GB2312" w:eastAsia="仿宋_GB2312"/>
                      <w:sz w:val="21"/>
                    </w:rPr>
                    <w:t>1.3、符合原卫生部《卫生系统电子认证服务规范（试行）》</w:t>
                  </w:r>
                </w:p>
                <w:p>
                  <w:pPr>
                    <w:pStyle w:val="null3"/>
                    <w:ind w:firstLine="371"/>
                    <w:jc w:val="both"/>
                  </w:pPr>
                  <w:r>
                    <w:rPr>
                      <w:rFonts w:ascii="仿宋_GB2312" w:hAnsi="仿宋_GB2312" w:cs="仿宋_GB2312" w:eastAsia="仿宋_GB2312"/>
                      <w:sz w:val="21"/>
                    </w:rPr>
                    <w:t>1.4、证书格式标准遵循x．509v3标准</w:t>
                  </w:r>
                </w:p>
                <w:p>
                  <w:pPr>
                    <w:pStyle w:val="null3"/>
                    <w:ind w:firstLine="371"/>
                    <w:jc w:val="both"/>
                  </w:pPr>
                  <w:r>
                    <w:rPr>
                      <w:rFonts w:ascii="仿宋_GB2312" w:hAnsi="仿宋_GB2312" w:cs="仿宋_GB2312" w:eastAsia="仿宋_GB2312"/>
                      <w:sz w:val="21"/>
                    </w:rPr>
                    <w:t>1.5、支持自定义证书扩展域管理</w:t>
                  </w:r>
                </w:p>
                <w:p>
                  <w:pPr>
                    <w:pStyle w:val="null3"/>
                    <w:ind w:firstLine="371"/>
                    <w:jc w:val="both"/>
                  </w:pPr>
                  <w:r>
                    <w:rPr>
                      <w:rFonts w:ascii="仿宋_GB2312" w:hAnsi="仿宋_GB2312" w:cs="仿宋_GB2312" w:eastAsia="仿宋_GB2312"/>
                      <w:sz w:val="21"/>
                    </w:rPr>
                    <w:t>1.6、证书有效期按年续费。</w:t>
                  </w:r>
                </w:p>
                <w:p>
                  <w:pPr>
                    <w:pStyle w:val="null3"/>
                    <w:ind w:firstLine="371"/>
                    <w:jc w:val="both"/>
                  </w:pPr>
                  <w:r>
                    <w:rPr>
                      <w:rFonts w:ascii="仿宋_GB2312" w:hAnsi="仿宋_GB2312" w:cs="仿宋_GB2312" w:eastAsia="仿宋_GB2312"/>
                      <w:sz w:val="21"/>
                    </w:rPr>
                    <w:t>1.7、证书签发机构具备《电子认证服务使用密码许可证》</w:t>
                  </w:r>
                </w:p>
                <w:p>
                  <w:pPr>
                    <w:pStyle w:val="null3"/>
                    <w:ind w:firstLine="371"/>
                    <w:jc w:val="both"/>
                  </w:pPr>
                  <w:r>
                    <w:rPr>
                      <w:rFonts w:ascii="仿宋_GB2312" w:hAnsi="仿宋_GB2312" w:cs="仿宋_GB2312" w:eastAsia="仿宋_GB2312"/>
                      <w:sz w:val="21"/>
                    </w:rPr>
                    <w:t>1.8、实现与现有个人数字证书的适配，保证认证服务持续可信（提供承诺函加盖公章）。</w:t>
                  </w:r>
                </w:p>
                <w:p>
                  <w:pPr>
                    <w:pStyle w:val="null3"/>
                    <w:ind w:firstLine="422"/>
                    <w:jc w:val="both"/>
                  </w:pPr>
                  <w:r>
                    <w:rPr>
                      <w:rFonts w:ascii="仿宋_GB2312" w:hAnsi="仿宋_GB2312" w:cs="仿宋_GB2312" w:eastAsia="仿宋_GB2312"/>
                      <w:sz w:val="21"/>
                      <w:b/>
                    </w:rPr>
                    <w:t>2、设备数字证书更新服务</w:t>
                  </w:r>
                </w:p>
                <w:p>
                  <w:pPr>
                    <w:pStyle w:val="null3"/>
                    <w:ind w:firstLine="371"/>
                    <w:jc w:val="both"/>
                  </w:pPr>
                  <w:r>
                    <w:rPr>
                      <w:rFonts w:ascii="仿宋_GB2312" w:hAnsi="仿宋_GB2312" w:cs="仿宋_GB2312" w:eastAsia="仿宋_GB2312"/>
                      <w:sz w:val="21"/>
                    </w:rPr>
                    <w:t>2.1、标识个人用户网络身份</w:t>
                  </w:r>
                </w:p>
                <w:p>
                  <w:pPr>
                    <w:pStyle w:val="null3"/>
                    <w:ind w:firstLine="371"/>
                    <w:jc w:val="both"/>
                  </w:pPr>
                  <w:r>
                    <w:rPr>
                      <w:rFonts w:ascii="仿宋_GB2312" w:hAnsi="仿宋_GB2312" w:cs="仿宋_GB2312" w:eastAsia="仿宋_GB2312"/>
                      <w:sz w:val="21"/>
                    </w:rPr>
                    <w:t>2.2、符合原卫生部《卫生系统数字证书格式规范（试行）》</w:t>
                  </w:r>
                </w:p>
                <w:p>
                  <w:pPr>
                    <w:pStyle w:val="null3"/>
                    <w:ind w:firstLine="371"/>
                    <w:jc w:val="both"/>
                  </w:pPr>
                  <w:r>
                    <w:rPr>
                      <w:rFonts w:ascii="仿宋_GB2312" w:hAnsi="仿宋_GB2312" w:cs="仿宋_GB2312" w:eastAsia="仿宋_GB2312"/>
                      <w:sz w:val="21"/>
                    </w:rPr>
                    <w:t>2.3、符合原卫生部《卫生系统电子认证服务规范（试行）》</w:t>
                  </w:r>
                </w:p>
                <w:p>
                  <w:pPr>
                    <w:pStyle w:val="null3"/>
                    <w:ind w:firstLine="371"/>
                    <w:jc w:val="both"/>
                  </w:pPr>
                  <w:r>
                    <w:rPr>
                      <w:rFonts w:ascii="仿宋_GB2312" w:hAnsi="仿宋_GB2312" w:cs="仿宋_GB2312" w:eastAsia="仿宋_GB2312"/>
                      <w:sz w:val="21"/>
                    </w:rPr>
                    <w:t>2.4、证书格式标准遵循x．509v3标准</w:t>
                  </w:r>
                </w:p>
                <w:p>
                  <w:pPr>
                    <w:pStyle w:val="null3"/>
                    <w:ind w:firstLine="371"/>
                    <w:jc w:val="both"/>
                  </w:pPr>
                  <w:r>
                    <w:rPr>
                      <w:rFonts w:ascii="仿宋_GB2312" w:hAnsi="仿宋_GB2312" w:cs="仿宋_GB2312" w:eastAsia="仿宋_GB2312"/>
                      <w:sz w:val="21"/>
                    </w:rPr>
                    <w:t>2.5、支持自定义证书扩展域管理</w:t>
                  </w:r>
                </w:p>
                <w:p>
                  <w:pPr>
                    <w:pStyle w:val="null3"/>
                    <w:ind w:firstLine="371"/>
                    <w:jc w:val="both"/>
                  </w:pPr>
                  <w:r>
                    <w:rPr>
                      <w:rFonts w:ascii="仿宋_GB2312" w:hAnsi="仿宋_GB2312" w:cs="仿宋_GB2312" w:eastAsia="仿宋_GB2312"/>
                      <w:sz w:val="21"/>
                    </w:rPr>
                    <w:t>2.6、证书有效期按年续费。</w:t>
                  </w:r>
                </w:p>
                <w:p>
                  <w:pPr>
                    <w:pStyle w:val="null3"/>
                    <w:ind w:firstLine="371"/>
                    <w:jc w:val="both"/>
                  </w:pPr>
                  <w:r>
                    <w:rPr>
                      <w:rFonts w:ascii="仿宋_GB2312" w:hAnsi="仿宋_GB2312" w:cs="仿宋_GB2312" w:eastAsia="仿宋_GB2312"/>
                      <w:sz w:val="21"/>
                    </w:rPr>
                    <w:t>2.7、证书签发机构具备《电子认证服务使用密码许可证》</w:t>
                  </w:r>
                </w:p>
                <w:p>
                  <w:pPr>
                    <w:pStyle w:val="null3"/>
                    <w:ind w:firstLine="371"/>
                    <w:jc w:val="both"/>
                  </w:pPr>
                  <w:r>
                    <w:rPr>
                      <w:rFonts w:ascii="仿宋_GB2312" w:hAnsi="仿宋_GB2312" w:cs="仿宋_GB2312" w:eastAsia="仿宋_GB2312"/>
                      <w:sz w:val="21"/>
                    </w:rPr>
                    <w:t>2.8、实现与现有设备的适配（提供承诺函加盖公章）。</w:t>
                  </w:r>
                </w:p>
                <w:p>
                  <w:pPr>
                    <w:pStyle w:val="null3"/>
                    <w:ind w:firstLine="422"/>
                    <w:jc w:val="both"/>
                  </w:pPr>
                  <w:r>
                    <w:rPr>
                      <w:rFonts w:ascii="仿宋_GB2312" w:hAnsi="仿宋_GB2312" w:cs="仿宋_GB2312" w:eastAsia="仿宋_GB2312"/>
                      <w:sz w:val="21"/>
                      <w:b/>
                    </w:rPr>
                    <w:t>3、患者签名证书更新服务</w:t>
                  </w:r>
                </w:p>
                <w:p>
                  <w:pPr>
                    <w:pStyle w:val="null3"/>
                    <w:ind w:firstLine="371"/>
                    <w:jc w:val="both"/>
                  </w:pPr>
                  <w:r>
                    <w:rPr>
                      <w:rFonts w:ascii="仿宋_GB2312" w:hAnsi="仿宋_GB2312" w:cs="仿宋_GB2312" w:eastAsia="仿宋_GB2312"/>
                      <w:sz w:val="21"/>
                    </w:rPr>
                    <w:t>3.1、为患者手写签名板提供患者签名认证服务，按年度进行数字签名认证服务，保障患者签名的合法性和可信性。</w:t>
                  </w:r>
                </w:p>
                <w:p>
                  <w:pPr>
                    <w:pStyle w:val="null3"/>
                    <w:ind w:firstLine="371"/>
                    <w:jc w:val="both"/>
                  </w:pPr>
                  <w:r>
                    <w:rPr>
                      <w:rFonts w:ascii="仿宋_GB2312" w:hAnsi="仿宋_GB2312" w:cs="仿宋_GB2312" w:eastAsia="仿宋_GB2312"/>
                      <w:sz w:val="21"/>
                    </w:rPr>
                    <w:t>3.2、针对患者手写数字签名功能提供一次性事件证书签发服务。患者每次签名时，系统要重新生成一次性的事件证书，患者每次签名时使用的证书必须不同</w:t>
                  </w:r>
                </w:p>
                <w:p>
                  <w:pPr>
                    <w:pStyle w:val="null3"/>
                    <w:ind w:firstLine="371"/>
                    <w:jc w:val="both"/>
                  </w:pPr>
                  <w:r>
                    <w:rPr>
                      <w:rFonts w:ascii="仿宋_GB2312" w:hAnsi="仿宋_GB2312" w:cs="仿宋_GB2312" w:eastAsia="仿宋_GB2312"/>
                      <w:sz w:val="21"/>
                    </w:rPr>
                    <w:t>3.3、证书有效期按年续费。</w:t>
                  </w:r>
                </w:p>
                <w:p>
                  <w:pPr>
                    <w:pStyle w:val="null3"/>
                    <w:ind w:firstLine="371"/>
                    <w:jc w:val="both"/>
                  </w:pPr>
                  <w:r>
                    <w:rPr>
                      <w:rFonts w:ascii="仿宋_GB2312" w:hAnsi="仿宋_GB2312" w:cs="仿宋_GB2312" w:eastAsia="仿宋_GB2312"/>
                      <w:sz w:val="21"/>
                    </w:rPr>
                    <w:t>3.4、证书签发机构具备《电子认证服务使用密码许可证》</w:t>
                  </w:r>
                </w:p>
                <w:p>
                  <w:pPr>
                    <w:pStyle w:val="null3"/>
                    <w:ind w:firstLine="420"/>
                  </w:pPr>
                  <w:r>
                    <w:rPr>
                      <w:rFonts w:ascii="仿宋_GB2312" w:hAnsi="仿宋_GB2312" w:cs="仿宋_GB2312" w:eastAsia="仿宋_GB2312"/>
                      <w:sz w:val="21"/>
                    </w:rPr>
                    <w:t>3.5、实现与现有</w:t>
                  </w:r>
                  <w:r>
                    <w:rPr>
                      <w:rFonts w:ascii="仿宋_GB2312" w:hAnsi="仿宋_GB2312" w:cs="仿宋_GB2312" w:eastAsia="仿宋_GB2312"/>
                      <w:sz w:val="21"/>
                    </w:rPr>
                    <w:t>手写板的适配（提供承诺函加盖公章）。</w:t>
                  </w: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维保服务范围：</w:t>
                  </w:r>
                </w:p>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提供全院个人数字证书、设备证书、患者签名证书</w:t>
                  </w:r>
                  <w:r>
                    <w:rPr>
                      <w:rFonts w:ascii="仿宋_GB2312" w:hAnsi="仿宋_GB2312" w:cs="仿宋_GB2312" w:eastAsia="仿宋_GB2312"/>
                      <w:sz w:val="21"/>
                    </w:rPr>
                    <w:t>按年</w:t>
                  </w:r>
                  <w:r>
                    <w:rPr>
                      <w:rFonts w:ascii="仿宋_GB2312" w:hAnsi="仿宋_GB2312" w:cs="仿宋_GB2312" w:eastAsia="仿宋_GB2312"/>
                      <w:sz w:val="21"/>
                    </w:rPr>
                    <w:t>续期、更新</w:t>
                  </w:r>
                  <w:r>
                    <w:rPr>
                      <w:rFonts w:ascii="仿宋_GB2312" w:hAnsi="仿宋_GB2312" w:cs="仿宋_GB2312" w:eastAsia="仿宋_GB2312"/>
                      <w:sz w:val="21"/>
                    </w:rPr>
                    <w:t>、签发、部署服务。</w:t>
                  </w:r>
                  <w:r>
                    <w:rPr>
                      <w:rFonts w:ascii="仿宋_GB2312" w:hAnsi="仿宋_GB2312" w:cs="仿宋_GB2312" w:eastAsia="仿宋_GB2312"/>
                      <w:sz w:val="21"/>
                    </w:rPr>
                    <w:t>两年内按年更新。设备及</w:t>
                  </w:r>
                  <w:r>
                    <w:rPr>
                      <w:rFonts w:ascii="仿宋_GB2312" w:hAnsi="仿宋_GB2312" w:cs="仿宋_GB2312" w:eastAsia="仿宋_GB2312"/>
                      <w:sz w:val="21"/>
                    </w:rPr>
                    <w:t>ukey证书到期前上门更新。</w:t>
                  </w:r>
                  <w:r>
                    <w:rPr>
                      <w:rFonts w:ascii="仿宋_GB2312" w:hAnsi="仿宋_GB2312" w:cs="仿宋_GB2312" w:eastAsia="仿宋_GB2312"/>
                      <w:sz w:val="21"/>
                    </w:rPr>
                    <w:t>负责证书与医院</w:t>
                  </w:r>
                  <w:r>
                    <w:rPr>
                      <w:rFonts w:ascii="仿宋_GB2312" w:hAnsi="仿宋_GB2312" w:cs="仿宋_GB2312" w:eastAsia="仿宋_GB2312"/>
                      <w:sz w:val="21"/>
                    </w:rPr>
                    <w:t>HIS、电子病历、集成平台等系统的兼容适配。</w:t>
                  </w:r>
                </w:p>
                <w:p>
                  <w:pPr>
                    <w:pStyle w:val="null3"/>
                  </w:pPr>
                  <w:r>
                    <w:rPr>
                      <w:rFonts w:ascii="仿宋_GB2312" w:hAnsi="仿宋_GB2312" w:cs="仿宋_GB2312" w:eastAsia="仿宋_GB2312"/>
                      <w:sz w:val="21"/>
                    </w:rPr>
                    <w:t>2、</w:t>
                  </w:r>
                  <w:r>
                    <w:rPr>
                      <w:rFonts w:ascii="仿宋_GB2312" w:hAnsi="仿宋_GB2312" w:cs="仿宋_GB2312" w:eastAsia="仿宋_GB2312"/>
                      <w:sz w:val="21"/>
                    </w:rPr>
                    <w:t>提供证书有效期预警、过期恢复、挂失、补发、更换等日常维护服务。</w:t>
                  </w:r>
                </w:p>
                <w:p>
                  <w:pPr>
                    <w:pStyle w:val="null3"/>
                  </w:pPr>
                  <w:r>
                    <w:rPr>
                      <w:rFonts w:ascii="仿宋_GB2312" w:hAnsi="仿宋_GB2312" w:cs="仿宋_GB2312" w:eastAsia="仿宋_GB2312"/>
                      <w:sz w:val="21"/>
                    </w:rPr>
                    <w:t>3、</w:t>
                  </w:r>
                  <w:r>
                    <w:rPr>
                      <w:rFonts w:ascii="仿宋_GB2312" w:hAnsi="仿宋_GB2312" w:cs="仿宋_GB2312" w:eastAsia="仿宋_GB2312"/>
                      <w:sz w:val="21"/>
                    </w:rPr>
                    <w:t>处理证书使用故障、签名异常、认证失败、设备接入失败等问题，提供远程与现场技术支持。</w:t>
                  </w:r>
                </w:p>
                <w:p>
                  <w:pPr>
                    <w:pStyle w:val="null3"/>
                  </w:pPr>
                  <w:r>
                    <w:rPr>
                      <w:rFonts w:ascii="仿宋_GB2312" w:hAnsi="仿宋_GB2312" w:cs="仿宋_GB2312" w:eastAsia="仿宋_GB2312"/>
                      <w:sz w:val="21"/>
                    </w:rPr>
                    <w:t>4、</w:t>
                  </w:r>
                  <w:r>
                    <w:rPr>
                      <w:rFonts w:ascii="仿宋_GB2312" w:hAnsi="仿宋_GB2312" w:cs="仿宋_GB2312" w:eastAsia="仿宋_GB2312"/>
                      <w:sz w:val="21"/>
                    </w:rPr>
                    <w:t>开展证书使用培训、操作指导、流程讲解，协助医护及相关人员正常使用。</w:t>
                  </w:r>
                </w:p>
                <w:p>
                  <w:pPr>
                    <w:pStyle w:val="null3"/>
                  </w:pPr>
                  <w:r>
                    <w:rPr>
                      <w:rFonts w:ascii="仿宋_GB2312" w:hAnsi="仿宋_GB2312" w:cs="仿宋_GB2312" w:eastAsia="仿宋_GB2312"/>
                      <w:sz w:val="21"/>
                    </w:rPr>
                    <w:t>5、</w:t>
                  </w:r>
                  <w:r>
                    <w:rPr>
                      <w:rFonts w:ascii="仿宋_GB2312" w:hAnsi="仿宋_GB2312" w:cs="仿宋_GB2312" w:eastAsia="仿宋_GB2312"/>
                      <w:sz w:val="21"/>
                    </w:rPr>
                    <w:t>提供应急保障服务，快速处置因证书异常导致的业务中断事件。</w:t>
                  </w:r>
                </w:p>
                <w:p>
                  <w:pPr>
                    <w:pStyle w:val="null3"/>
                  </w:pPr>
                  <w:r>
                    <w:rPr>
                      <w:rFonts w:ascii="仿宋_GB2312" w:hAnsi="仿宋_GB2312" w:cs="仿宋_GB2312" w:eastAsia="仿宋_GB2312"/>
                      <w:sz w:val="21"/>
                    </w:rPr>
                    <w:t>6、</w:t>
                  </w:r>
                  <w:r>
                    <w:rPr>
                      <w:rFonts w:ascii="仿宋_GB2312" w:hAnsi="仿宋_GB2312" w:cs="仿宋_GB2312" w:eastAsia="仿宋_GB2312"/>
                      <w:sz w:val="21"/>
                    </w:rPr>
                    <w:t>服务期内免费提供与证书相关的技术咨询、方案建议等必要的技术支持。</w:t>
                  </w: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维保服务内容及标准</w:t>
                  </w:r>
                </w:p>
                <w:tbl>
                  <w:tblPr>
                    <w:tblBorders>
                      <w:top w:val="none" w:color="000000" w:sz="4"/>
                      <w:left w:val="none" w:color="000000" w:sz="4"/>
                      <w:bottom w:val="none" w:color="000000" w:sz="4"/>
                      <w:right w:val="none" w:color="000000" w:sz="4"/>
                      <w:insideH w:val="none"/>
                      <w:insideV w:val="none"/>
                    </w:tblBorders>
                  </w:tblPr>
                  <w:tblGrid>
                    <w:gridCol w:w="382"/>
                    <w:gridCol w:w="659"/>
                    <w:gridCol w:w="919"/>
                  </w:tblGrid>
                  <w:tr>
                    <w:tc>
                      <w:tcPr>
                        <w:tcW w:type="dxa" w:w="3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服务方式</w:t>
                        </w:r>
                      </w:p>
                    </w:tc>
                    <w:tc>
                      <w:tcPr>
                        <w:tcW w:type="dxa" w:w="6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9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服务标准</w:t>
                        </w:r>
                      </w:p>
                    </w:tc>
                  </w:tr>
                  <w:tr>
                    <w:tc>
                      <w:tcPr>
                        <w:tcW w:type="dxa" w:w="38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远程服务</w:t>
                        </w:r>
                      </w:p>
                    </w:tc>
                    <w:tc>
                      <w:tcPr>
                        <w:tcW w:type="dxa" w:w="6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证书问题受理、使用咨询、故障排查、配置指导、过期恢复、远程更新</w:t>
                        </w:r>
                      </w:p>
                    </w:tc>
                    <w:tc>
                      <w:tcPr>
                        <w:tcW w:type="dxa" w:w="9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7*24小时期间受理问题，对受理问题0.5个工作日内给予解决或解决方案</w:t>
                        </w:r>
                      </w:p>
                    </w:tc>
                  </w:tr>
                  <w:tr>
                    <w:tc>
                      <w:tcPr>
                        <w:tcW w:type="dxa" w:w="38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919"/>
                        <w:vMerge/>
                        <w:tcBorders>
                          <w:top w:val="none" w:color="000000" w:sz="4"/>
                          <w:left w:val="single" w:color="000000" w:sz="4"/>
                          <w:bottom w:val="single" w:color="000000" w:sz="4"/>
                          <w:right w:val="single" w:color="000000" w:sz="4"/>
                        </w:tcBorders>
                      </w:tcPr>
                      <w:p/>
                    </w:tc>
                  </w:tr>
                  <w:tr>
                    <w:tc>
                      <w:tcPr>
                        <w:tcW w:type="dxa" w:w="38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证书更新服务</w:t>
                        </w:r>
                      </w:p>
                    </w:tc>
                    <w:tc>
                      <w:tcPr>
                        <w:tcW w:type="dxa" w:w="6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个人数字证书更新</w:t>
                        </w:r>
                        <w:r>
                          <w:rPr>
                            <w:rFonts w:ascii="仿宋_GB2312" w:hAnsi="仿宋_GB2312" w:cs="仿宋_GB2312" w:eastAsia="仿宋_GB2312"/>
                            <w:sz w:val="21"/>
                            <w:color w:val="000000"/>
                          </w:rPr>
                          <w:t>1600张以内，</w:t>
                        </w:r>
                        <w:r>
                          <w:rPr>
                            <w:rFonts w:ascii="仿宋_GB2312" w:hAnsi="仿宋_GB2312" w:cs="仿宋_GB2312" w:eastAsia="仿宋_GB2312"/>
                            <w:sz w:val="21"/>
                          </w:rPr>
                          <w:t>证书有效期按年更</w:t>
                        </w:r>
                        <w:r>
                          <w:rPr>
                            <w:rFonts w:ascii="仿宋_GB2312" w:hAnsi="仿宋_GB2312" w:cs="仿宋_GB2312" w:eastAsia="仿宋_GB2312"/>
                            <w:sz w:val="21"/>
                            <w:color w:val="000000"/>
                          </w:rPr>
                          <w:t>新；</w:t>
                        </w:r>
                      </w:p>
                      <w:p>
                        <w:pPr>
                          <w:pStyle w:val="null3"/>
                          <w:jc w:val="left"/>
                        </w:pPr>
                        <w:r>
                          <w:rPr>
                            <w:rFonts w:ascii="仿宋_GB2312" w:hAnsi="仿宋_GB2312" w:cs="仿宋_GB2312" w:eastAsia="仿宋_GB2312"/>
                            <w:sz w:val="21"/>
                            <w:color w:val="000000"/>
                          </w:rPr>
                          <w:t>设备数字证书更新</w:t>
                        </w:r>
                        <w:r>
                          <w:rPr>
                            <w:rFonts w:ascii="仿宋_GB2312" w:hAnsi="仿宋_GB2312" w:cs="仿宋_GB2312" w:eastAsia="仿宋_GB2312"/>
                            <w:sz w:val="21"/>
                            <w:color w:val="000000"/>
                          </w:rPr>
                          <w:t>5张，</w:t>
                        </w:r>
                        <w:r>
                          <w:rPr>
                            <w:rFonts w:ascii="仿宋_GB2312" w:hAnsi="仿宋_GB2312" w:cs="仿宋_GB2312" w:eastAsia="仿宋_GB2312"/>
                            <w:sz w:val="21"/>
                          </w:rPr>
                          <w:t>证书有效期按年更</w:t>
                        </w:r>
                        <w:r>
                          <w:rPr>
                            <w:rFonts w:ascii="仿宋_GB2312" w:hAnsi="仿宋_GB2312" w:cs="仿宋_GB2312" w:eastAsia="仿宋_GB2312"/>
                            <w:sz w:val="21"/>
                            <w:color w:val="000000"/>
                          </w:rPr>
                          <w:t>新；</w:t>
                        </w:r>
                      </w:p>
                      <w:p>
                        <w:pPr>
                          <w:pStyle w:val="null3"/>
                          <w:jc w:val="left"/>
                        </w:pPr>
                        <w:r>
                          <w:rPr>
                            <w:rFonts w:ascii="仿宋_GB2312" w:hAnsi="仿宋_GB2312" w:cs="仿宋_GB2312" w:eastAsia="仿宋_GB2312"/>
                            <w:sz w:val="21"/>
                            <w:color w:val="000000"/>
                          </w:rPr>
                          <w:t>患者签名证书更新</w:t>
                        </w:r>
                        <w:r>
                          <w:rPr>
                            <w:rFonts w:ascii="仿宋_GB2312" w:hAnsi="仿宋_GB2312" w:cs="仿宋_GB2312" w:eastAsia="仿宋_GB2312"/>
                            <w:sz w:val="21"/>
                            <w:color w:val="000000"/>
                          </w:rPr>
                          <w:t>42台，</w:t>
                        </w:r>
                        <w:r>
                          <w:rPr>
                            <w:rFonts w:ascii="仿宋_GB2312" w:hAnsi="仿宋_GB2312" w:cs="仿宋_GB2312" w:eastAsia="仿宋_GB2312"/>
                            <w:sz w:val="21"/>
                          </w:rPr>
                          <w:t>证书有效期按年更</w:t>
                        </w:r>
                        <w:r>
                          <w:rPr>
                            <w:rFonts w:ascii="仿宋_GB2312" w:hAnsi="仿宋_GB2312" w:cs="仿宋_GB2312" w:eastAsia="仿宋_GB2312"/>
                            <w:sz w:val="21"/>
                            <w:color w:val="000000"/>
                          </w:rPr>
                          <w:t>新；</w:t>
                        </w:r>
                      </w:p>
                    </w:tc>
                    <w:tc>
                      <w:tcPr>
                        <w:tcW w:type="dxa" w:w="91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全年证书更新及时率</w:t>
                        </w:r>
                        <w:r>
                          <w:rPr>
                            <w:rFonts w:ascii="仿宋_GB2312" w:hAnsi="仿宋_GB2312" w:cs="仿宋_GB2312" w:eastAsia="仿宋_GB2312"/>
                            <w:sz w:val="21"/>
                            <w:color w:val="000000"/>
                          </w:rPr>
                          <w:t>100%，无遗漏、无中断、系统兼容稳定</w:t>
                        </w:r>
                      </w:p>
                    </w:tc>
                  </w:tr>
                  <w:tr>
                    <w:tc>
                      <w:tcPr>
                        <w:tcW w:type="dxa" w:w="38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919"/>
                        <w:vMerge/>
                        <w:tcBorders>
                          <w:top w:val="none" w:color="000000" w:sz="4"/>
                          <w:left w:val="singl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919"/>
                        <w:vMerge/>
                        <w:tcBorders>
                          <w:top w:val="none" w:color="000000" w:sz="4"/>
                          <w:left w:val="single" w:color="000000" w:sz="4"/>
                          <w:bottom w:val="single" w:color="000000" w:sz="4"/>
                          <w:right w:val="single" w:color="000000" w:sz="4"/>
                        </w:tcBorders>
                      </w:tcPr>
                      <w:p/>
                    </w:tc>
                  </w:tr>
                  <w:tr>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故障处理</w:t>
                        </w:r>
                      </w:p>
                    </w:tc>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证书认证失败、签名异常、设备接入失败、系统报错、过期故障等分级处置</w:t>
                        </w:r>
                      </w:p>
                    </w:tc>
                    <w:tc>
                      <w:tcPr>
                        <w:tcW w:type="dxa" w:w="9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按故障等级分级处置：</w:t>
                        </w:r>
                      </w:p>
                      <w:p>
                        <w:pPr>
                          <w:pStyle w:val="null3"/>
                          <w:jc w:val="left"/>
                        </w:pPr>
                        <w:r>
                          <w:rPr>
                            <w:rFonts w:ascii="仿宋_GB2312" w:hAnsi="仿宋_GB2312" w:cs="仿宋_GB2312" w:eastAsia="仿宋_GB2312"/>
                            <w:sz w:val="21"/>
                            <w:b/>
                            <w:color w:val="000000"/>
                          </w:rPr>
                          <w:t>一级故障</w:t>
                        </w:r>
                        <w:r>
                          <w:rPr>
                            <w:rFonts w:ascii="仿宋_GB2312" w:hAnsi="仿宋_GB2312" w:cs="仿宋_GB2312" w:eastAsia="仿宋_GB2312"/>
                            <w:sz w:val="21"/>
                            <w:color w:val="000000"/>
                          </w:rPr>
                          <w:t>：证书过期</w:t>
                        </w:r>
                        <w:r>
                          <w:rPr>
                            <w:rFonts w:ascii="仿宋_GB2312" w:hAnsi="仿宋_GB2312" w:cs="仿宋_GB2312" w:eastAsia="仿宋_GB2312"/>
                            <w:sz w:val="21"/>
                            <w:color w:val="000000"/>
                          </w:rPr>
                          <w:t>/失效导致无法电子签名、系统登录、设备入网、患者签署，全面中断诊疗业务，2小时内提供方案，12小时内排除故障</w:t>
                        </w:r>
                      </w:p>
                      <w:p>
                        <w:pPr>
                          <w:pStyle w:val="null3"/>
                          <w:jc w:val="left"/>
                        </w:pPr>
                        <w:r>
                          <w:rPr>
                            <w:rFonts w:ascii="仿宋_GB2312" w:hAnsi="仿宋_GB2312" w:cs="仿宋_GB2312" w:eastAsia="仿宋_GB2312"/>
                            <w:sz w:val="21"/>
                            <w:b/>
                            <w:color w:val="000000"/>
                          </w:rPr>
                          <w:t>二级故障</w:t>
                        </w:r>
                        <w:r>
                          <w:rPr>
                            <w:rFonts w:ascii="仿宋_GB2312" w:hAnsi="仿宋_GB2312" w:cs="仿宋_GB2312" w:eastAsia="仿宋_GB2312"/>
                            <w:sz w:val="21"/>
                            <w:color w:val="000000"/>
                          </w:rPr>
                          <w:t>：单科室</w:t>
                        </w:r>
                        <w:r>
                          <w:rPr>
                            <w:rFonts w:ascii="仿宋_GB2312" w:hAnsi="仿宋_GB2312" w:cs="仿宋_GB2312" w:eastAsia="仿宋_GB2312"/>
                            <w:sz w:val="21"/>
                            <w:color w:val="000000"/>
                          </w:rPr>
                          <w:t>/单人证书异常、签名报错、个别设备认证失败，不影响全院业务，2小时内提供方案，24小时内排除故障</w:t>
                        </w:r>
                      </w:p>
                      <w:p>
                        <w:pPr>
                          <w:pStyle w:val="null3"/>
                          <w:jc w:val="left"/>
                        </w:pPr>
                        <w:r>
                          <w:rPr>
                            <w:rFonts w:ascii="仿宋_GB2312" w:hAnsi="仿宋_GB2312" w:cs="仿宋_GB2312" w:eastAsia="仿宋_GB2312"/>
                            <w:sz w:val="21"/>
                            <w:b/>
                            <w:color w:val="000000"/>
                          </w:rPr>
                          <w:t>三级故障</w:t>
                        </w:r>
                        <w:r>
                          <w:rPr>
                            <w:rFonts w:ascii="仿宋_GB2312" w:hAnsi="仿宋_GB2312" w:cs="仿宋_GB2312" w:eastAsia="仿宋_GB2312"/>
                            <w:sz w:val="21"/>
                            <w:color w:val="000000"/>
                          </w:rPr>
                          <w:t>：证书有效期提醒、信息变更、配置优化、使用培训、常规咨询等非阻断性问题，</w:t>
                        </w:r>
                        <w:r>
                          <w:rPr>
                            <w:rFonts w:ascii="仿宋_GB2312" w:hAnsi="仿宋_GB2312" w:cs="仿宋_GB2312" w:eastAsia="仿宋_GB2312"/>
                            <w:sz w:val="21"/>
                            <w:color w:val="000000"/>
                          </w:rPr>
                          <w:t>24小时内处理。</w:t>
                        </w:r>
                      </w:p>
                    </w:tc>
                  </w:tr>
                  <w:tr>
                    <w:tc>
                      <w:tcPr>
                        <w:tcW w:type="dxa" w:w="3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应急服务</w:t>
                        </w:r>
                      </w:p>
                    </w:tc>
                    <w:tc>
                      <w:tcPr>
                        <w:tcW w:type="dxa" w:w="6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证书挂失、补办、更换、紧急补发、业务中断应急处置</w:t>
                        </w:r>
                      </w:p>
                    </w:tc>
                    <w:tc>
                      <w:tcPr>
                        <w:tcW w:type="dxa" w:w="9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紧急事项优先处理，快速恢复系统运行，保障诊疗业务不间断</w:t>
                        </w:r>
                      </w:p>
                    </w:tc>
                  </w:tr>
                </w:tbl>
                <w:p>
                  <w:pPr>
                    <w:pStyle w:val="null3"/>
                    <w:jc w:val="both"/>
                  </w:pP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B0F0"/>
                    </w:rPr>
                    <w:t>服务质量：符合国家、行业、地方规定以及采购人规定的质量及安全标准</w:t>
                  </w:r>
                </w:p>
              </w:tc>
            </w:tr>
            <w:tr>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B0F0"/>
                    </w:rPr>
                    <w:t>每年提供</w:t>
                  </w:r>
                  <w:r>
                    <w:rPr>
                      <w:rFonts w:ascii="仿宋_GB2312" w:hAnsi="仿宋_GB2312" w:cs="仿宋_GB2312" w:eastAsia="仿宋_GB2312"/>
                      <w:sz w:val="21"/>
                      <w:color w:val="00B0F0"/>
                    </w:rPr>
                    <w:t>12次系统巡检，不限次数的现场维护。并向最终用户提供12次巡检单（一式两份，由双方签字确认），内容包含但不限于巡检时间、巡检内容、巡检结果</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根据采购配备相关人员，满足本项目技术及服务要求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根据采购需求配备相关设施设备，满足本项目技术及服务要求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验收标准 1.1 服务完成后，由乙方与甲方约定时间，根据合同要求评估服务质量。 1.2 服务完成后，系统稳定运行，由乙方书面申请正式验收。 1.3 乙方按照甲方验收管理制度和流程准备好验收资料后，按约定时间进行系统运行（正式）验收。验收合格后，验收人员在《医院信息系统验收单》上签字，作为对系统的最终认可。 2、 验收依据 2.1 本合同及附件文本。 2.2 国家相应的标准、规范； 2.3 招标文件、投标文件、澄清表(函)。 2.4 服务承诺文件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合同签订后支付50%款；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服务期满一年，经采购人验收合格后，支付余款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合同履行中发生争议的，当事人双方应协商解决，协商达不成一致时，依法向采购人所在地人民法院提请诉讼。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3.4.1培训要求 成交供应商必须向采购人提供培训服务，培训方式应包括理论培训和现场培训。成交供应商须针对不同的培训对象，在磋商响应文件中提出全面、详细的培训计划，包括但不限于培训内容、培训时间、地点、授课老师等。 成交供应商派出的培训教员应具备丰富的相同课程教学经验，所有的培训教员必须中文授课，成交供应商必须为所有被培训人员提供培训用文字资料和讲义等相关用品。 成交供应商应按采购人约定合理地安排培训时间。 3.4.2违约责任 依据《中华人民共和国民法典》、《中华人民共和国政府采购法》的相关条款和本合同约定，乙方未全面履行合同义务或者发生违约，甲方有权终止合同，依法向乙方进行经济索赔，甲方违约的，应当赔偿给乙方造成的经济损失。 3.4.3支付约定 合同签订后支付50%款；服务期满一年，经采购人验收合格后，支付余款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 （三）具有依法缴纳税收的良好记录。 提供缴费所属日期为投标截止时间前12个月内任一月份（投标截止时间当月不计入）的缴费凭据(企业及营利性组织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 以上二种形式的资料提供任何一种即可。 （四）具有依法缴纳社会保障资金的良好记录。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提供经审计且具有注册会计师行业统一监管平台出具赋码的2024年或2025年财务报告（包括四表一注，即资产负债表、利润表、现金流量表、所有者权益变动表及其附注）；事业法人提供部门决算报告；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法定代表人身份证明文件及法定代表人授权书</w:t>
            </w:r>
          </w:p>
        </w:tc>
        <w:tc>
          <w:tcPr>
            <w:tcW w:type="dxa" w:w="3322"/>
          </w:tcPr>
          <w:p>
            <w:pPr>
              <w:pStyle w:val="null3"/>
            </w:pPr>
            <w:r>
              <w:rPr>
                <w:rFonts w:ascii="仿宋_GB2312" w:hAnsi="仿宋_GB2312" w:cs="仿宋_GB2312" w:eastAsia="仿宋_GB2312"/>
              </w:rPr>
              <w:t>1.法定代表人直接参与磋商的的仅提供《法定代表人身份证明文件》； 2.授权代表参与磋商的同时提供《法定代表人身份证明文件》及《法定代表人授权书》</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磋商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西安市第一医院职工及其亲属投资举办的企业参加投标（提供承诺函）</w:t>
            </w:r>
          </w:p>
        </w:tc>
        <w:tc>
          <w:tcPr>
            <w:tcW w:type="dxa" w:w="3322"/>
          </w:tcPr>
          <w:p>
            <w:pPr>
              <w:pStyle w:val="null3"/>
            </w:pPr>
            <w:r>
              <w:rPr>
                <w:rFonts w:ascii="仿宋_GB2312" w:hAnsi="仿宋_GB2312" w:cs="仿宋_GB2312" w:eastAsia="仿宋_GB2312"/>
              </w:rPr>
              <w:t>西安市第一医院职工及其亲属投资举办的企业参加投标（提供承诺函）</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存在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评审委员会基于专业判断，认为供应商报价过低，有可能影响产品质量或者不能诚信履约的其他情形。），磋商小组应当要求其在评审现场合理的时间内（30分钟）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 2、磋商报价完整，不得只对采购需求部分内容进行报价。</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 2.只能有一个有效报价，不得提交选择性报价，且报价不超过采购预算金额或最高限价；3.不存在磋商文件及法律法规规定的无效情形。</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2.磋商有效期应满足磋商文件中的规定； 3.响应文件内容是否符合国家法律法规，没有重大偏离.</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服务范围</w:t>
            </w:r>
          </w:p>
        </w:tc>
        <w:tc>
          <w:tcPr>
            <w:tcW w:type="dxa" w:w="2492"/>
          </w:tcPr>
          <w:p>
            <w:pPr>
              <w:pStyle w:val="null3"/>
            </w:pPr>
            <w:r>
              <w:rPr>
                <w:rFonts w:ascii="仿宋_GB2312" w:hAnsi="仿宋_GB2312" w:cs="仿宋_GB2312" w:eastAsia="仿宋_GB2312"/>
              </w:rPr>
              <w:t>完全满足磋商文件服务要求，得6分；每有一项缺失扣2分；扣完为止，本项不计负分。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服务方案包括但不限于：对①个人数字证书更新、②设备数字书更新、③患者签名证书更新、④与现有系统的适配、⑤现场维护及系统巡检、⑥远程指导服务等： 供应商应对本项目有充分理解，数字更新流程合理、全面、可靠；有可靠的适配保障措施；对系统常见故障分析全面透彻，有高效的检查测试方法并提供指导服务；各项内容全面详细、阐述条理清晰、内容合理，贴合项目的实际情况，能有效保障本项目实施得24分；每有一个缺失项扣4分，每项中有一处缺陷扣1-3分，分值扣完为止，不计负分，本项最高得24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包括但不限于：①服务管理制度、②服务工作方式、③服务进度安排、④风险控制、⑤完成项目目标的质量保证措施、⑥项目验收：方案各项内容全面详细、阐述条理清晰、内容合理，贴合项目的实际情况，能有效保障本项目实施得18分；每有一个缺失项扣3分，每项中有一处缺陷扣1-2分，分值扣完为止，不计负分，本项最高得18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故障处理及应急服务预案</w:t>
            </w:r>
          </w:p>
        </w:tc>
        <w:tc>
          <w:tcPr>
            <w:tcW w:type="dxa" w:w="2492"/>
          </w:tcPr>
          <w:p>
            <w:pPr>
              <w:pStyle w:val="null3"/>
            </w:pPr>
            <w:r>
              <w:rPr>
                <w:rFonts w:ascii="仿宋_GB2312" w:hAnsi="仿宋_GB2312" w:cs="仿宋_GB2312" w:eastAsia="仿宋_GB2312"/>
              </w:rPr>
              <w:t>提供具有针对性的故障处理及应急服务预案，包括但不限于：①不同故障等级处理办法、②紧急情况的应急服务处理措施、③特殊情况的预防保证措施、④出现问题响应时间及人员安排： 方案各项内容全面详细、阐述条理清晰、内容合理，贴合项目的实际情况，能有效保障本项目实施得12分；每有一个缺失项扣3分，每项中有一处缺陷扣1-2分，分值扣完为止，不计负分，本项最高得12分。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拟投入服务团队人员：①服务团队熟悉医疗行业电子认证应用规范，提供相关证明材料（包括但不限于证书、承接过的项目等）、②数量应满足项目实际需求、③团队构架完整、④岗位设置合理。 满足要求得8分；每有一个缺失项扣2分；每项中有一处缺陷扣0.5-1.5分，分值扣完为止，不计负分，本项最高得8分。 说明：缺陷是指服务团队未能提供熟悉医疗行业电子认证应用规范人员、人员数量不能满足服务要求、团队构架不完整、岗位设置不合理。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供应商提供完整的培训方案。方案内容包括但不限于①培训目标、培训对象、②培训内容及培训方式、③授课教师等： 方案各项内容全面详细、阐述条理清晰、内容合理，贴合项目的实际情况，能有效保障本项目实施得3分；每有一个缺失项扣1分，每项中有一处缺陷扣0.5-0.9分，分值扣完为止，不计负分，本项最高得3分。 说明：缺陷是指内容不详细、内容不合理、虽有内容但不完善、内容不贴合项目实际情况。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1.供应商商具有ISO9000系列质量体系认证证书和ISO27001信息安全管理体系认证证书的，全部提供得2分，否则不得分。 2.为了保障证书服务的平滑兼容，所投产品与医院现有数字证书产品兼容，供应商提供产品厂商针对本项目的授权证书的，得2分。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提供供应商2023年5月1日至今（以合同签订日期为准）同类项目业绩（附业绩清单、合同完整复印件，以合同为准），提供1份得2分，最多10分。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磋商报价得分=（磋商基准价/最后磋商报价）×15。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