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版本号：SXCFY2026060520260709001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白水县国有建设用地地籍数据汇交项目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SXCFY20260605</w:t>
      </w:r>
      <w:r>
        <w:br/>
      </w:r>
      <w:r>
        <w:br/>
      </w:r>
      <w:r>
        <w:br/>
      </w:r>
    </w:p>
    <w:p>
      <w:pPr>
        <w:pStyle w:val="null3"/>
        <w:jc w:val="center"/>
        <w:outlineLvl w:val="2"/>
      </w:pPr>
      <w:r>
        <w:rPr>
          <w:rFonts w:ascii="仿宋_GB2312" w:hAnsi="仿宋_GB2312" w:cs="仿宋_GB2312" w:eastAsia="仿宋_GB2312"/>
          <w:sz w:val="28"/>
          <w:b/>
        </w:rPr>
        <w:t>白水县自然资源局</w:t>
      </w:r>
    </w:p>
    <w:p>
      <w:pPr>
        <w:pStyle w:val="null3"/>
        <w:jc w:val="center"/>
        <w:outlineLvl w:val="2"/>
      </w:pPr>
      <w:r>
        <w:rPr>
          <w:rFonts w:ascii="仿宋_GB2312" w:hAnsi="仿宋_GB2312" w:cs="仿宋_GB2312" w:eastAsia="仿宋_GB2312"/>
          <w:sz w:val="28"/>
          <w:b/>
        </w:rPr>
        <w:t>陕西诚方源项目管理有限公司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陕西诚方源项目管理有限公司</w:t>
      </w:r>
      <w:r>
        <w:rPr>
          <w:rFonts w:ascii="仿宋_GB2312" w:hAnsi="仿宋_GB2312" w:cs="仿宋_GB2312" w:eastAsia="仿宋_GB2312"/>
        </w:rPr>
        <w:t>（以下简称“代理机构”）受</w:t>
      </w:r>
      <w:r>
        <w:rPr>
          <w:rFonts w:ascii="仿宋_GB2312" w:hAnsi="仿宋_GB2312" w:cs="仿宋_GB2312" w:eastAsia="仿宋_GB2312"/>
        </w:rPr>
        <w:t>白水县自然资源局</w:t>
      </w:r>
      <w:r>
        <w:rPr>
          <w:rFonts w:ascii="仿宋_GB2312" w:hAnsi="仿宋_GB2312" w:cs="仿宋_GB2312" w:eastAsia="仿宋_GB2312"/>
        </w:rPr>
        <w:t>委托，拟对</w:t>
      </w:r>
      <w:r>
        <w:rPr>
          <w:rFonts w:ascii="仿宋_GB2312" w:hAnsi="仿宋_GB2312" w:cs="仿宋_GB2312" w:eastAsia="仿宋_GB2312"/>
        </w:rPr>
        <w:t>白水县国有建设用地地籍数据汇交项目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SXCFY20260605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白水县国有建设用地地籍数据汇交项目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完成我县国有建设用地地籍数据汇交工作。主要包括宗地测量、数据效验、整合入库等。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采购包1（白水县国有建设用地地籍数据汇交项目）：属于专门面向中小企业采购。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1、法定代表人或其授权代表委托书：法定代表人直接参加投标的，须出具法定代表人身份证明书；法定代表人授权代表参加投标的，须出具法定代表人授权委托书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2、企业资质：具有测绘主管部门颁发的乙级及以上测绘资质</w:t>
      </w:r>
    </w:p>
    <w:p>
      <w:pPr>
        <w:pStyle w:val="null3"/>
      </w:pPr>
      <w:r>
        <w:rPr>
          <w:rFonts w:ascii="仿宋_GB2312" w:hAnsi="仿宋_GB2312" w:cs="仿宋_GB2312" w:eastAsia="仿宋_GB2312"/>
        </w:rPr>
        <w:t>3、项目负责人：拟派项目负责人须具备注册测绘师资格或相关专业中级以上（含中级）技术职称</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0913—6183619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陕西诚方源项目管理有限公司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陕西省西安市新城区金花北路169号天彩大厦B座20层2001室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阮旭静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029-89339538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开户名称：陕西诚方源项目管理有限公司</w:t>
            </w:r>
          </w:p>
          <w:p>
            <w:pPr>
              <w:pStyle w:val="null3"/>
            </w:pPr>
            <w:r>
              <w:rPr>
                <w:rFonts w:ascii="仿宋_GB2312" w:hAnsi="仿宋_GB2312" w:cs="仿宋_GB2312" w:eastAsia="仿宋_GB2312"/>
              </w:rPr>
              <w:t>开户银行：中信银行股份有限公司西安咸宁路支行（缴纳保证金时需备注“项目编号+投标保证金”）</w:t>
            </w:r>
          </w:p>
          <w:p>
            <w:pPr>
              <w:pStyle w:val="null3"/>
            </w:pPr>
            <w:r>
              <w:rPr>
                <w:rFonts w:ascii="仿宋_GB2312" w:hAnsi="仿宋_GB2312" w:cs="仿宋_GB2312" w:eastAsia="仿宋_GB2312"/>
              </w:rPr>
              <w:t>银行账号：8111701011600592875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标准。 2、采购代理服务费账户： 公司名称：陕西诚方源项目管理有限公司 账 号: 8111701011600592875 开 户 行：中信银行股份有限公司西安咸宁路支行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白水县自然资源局</w:t>
      </w:r>
      <w:r>
        <w:rPr>
          <w:rFonts w:ascii="仿宋_GB2312" w:hAnsi="仿宋_GB2312" w:cs="仿宋_GB2312" w:eastAsia="仿宋_GB2312"/>
        </w:rPr>
        <w:t>和</w:t>
      </w:r>
      <w:r>
        <w:rPr>
          <w:rFonts w:ascii="仿宋_GB2312" w:hAnsi="仿宋_GB2312" w:cs="仿宋_GB2312" w:eastAsia="仿宋_GB2312"/>
        </w:rPr>
        <w:t>陕西诚方源项目管理有限公司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陕西诚方源项目管理有限公司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陕西诚方源项目管理有限公司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四、构成本招标文件的各组成部分，未经采购人书面同意，供应商不得擅自复印或用于非本磋商项目所需的其他目的。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符合采购文件和乙方投标文件标准和要求以及国家相关技术标准，所有数据成果符合国家及行业现行标准，并及时上报至省级汇交平台，一次性通过上级部门验收。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联系人：阮旭静</w:t>
      </w:r>
    </w:p>
    <w:p>
      <w:pPr>
        <w:pStyle w:val="null3"/>
      </w:pPr>
      <w:r>
        <w:rPr>
          <w:rFonts w:ascii="仿宋_GB2312" w:hAnsi="仿宋_GB2312" w:cs="仿宋_GB2312" w:eastAsia="仿宋_GB2312"/>
        </w:rPr>
        <w:t>联系电话：029-89339538</w:t>
      </w:r>
    </w:p>
    <w:p>
      <w:pPr>
        <w:pStyle w:val="null3"/>
      </w:pPr>
      <w:r>
        <w:rPr>
          <w:rFonts w:ascii="仿宋_GB2312" w:hAnsi="仿宋_GB2312" w:cs="仿宋_GB2312" w:eastAsia="仿宋_GB2312"/>
        </w:rPr>
        <w:t>地址：陕西省西安市新城区金花北路169号天彩大厦B座20层2001室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完成我县国有建设用地地籍数据汇交工作。主要包括宗地测量、数据效验、整合入库等。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2,850,000.00</w:t>
      </w:r>
    </w:p>
    <w:p>
      <w:pPr>
        <w:pStyle w:val="null3"/>
      </w:pPr>
      <w:r>
        <w:rPr>
          <w:rFonts w:ascii="仿宋_GB2312" w:hAnsi="仿宋_GB2312" w:cs="仿宋_GB2312" w:eastAsia="仿宋_GB2312"/>
        </w:rPr>
        <w:t>采购包最高限价（元）: 2,850,000.00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 白水县国有建设用地地籍数据汇交项目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白水县国有建设用地地籍数据汇交项目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rPr>
              <w:t>一、服务范围</w:t>
            </w:r>
          </w:p>
          <w:p>
            <w:pPr>
              <w:pStyle w:val="null3"/>
            </w:pPr>
            <w:r>
              <w:rPr>
                <w:rFonts w:ascii="仿宋_GB2312" w:hAnsi="仿宋_GB2312" w:cs="仿宋_GB2312" w:eastAsia="仿宋_GB2312"/>
              </w:rPr>
              <w:t>本次采购服务范围为白水县国有建设用地地籍数据汇交工作，涉及调查汇交约984宗。</w:t>
            </w:r>
          </w:p>
          <w:p>
            <w:pPr>
              <w:pStyle w:val="null3"/>
            </w:pPr>
            <w:r>
              <w:rPr>
                <w:rFonts w:ascii="仿宋_GB2312" w:hAnsi="仿宋_GB2312" w:cs="仿宋_GB2312" w:eastAsia="仿宋_GB2312"/>
              </w:rPr>
              <w:t>二、工作要求</w:t>
            </w:r>
          </w:p>
          <w:p>
            <w:pPr>
              <w:pStyle w:val="null3"/>
            </w:pPr>
            <w:r>
              <w:rPr>
                <w:rFonts w:ascii="仿宋_GB2312" w:hAnsi="仿宋_GB2312" w:cs="仿宋_GB2312" w:eastAsia="仿宋_GB2312"/>
              </w:rPr>
              <w:t>1.该工作严格按照省级数据汇交技术规范要求，完成全要素地籍调查测量、原始数据整合核对、数据质量自查自检、问题数据整改完善、汇交数据封装、按要求上报省级指定汇交平台、数据质检反馈跟踪、配合问题闭环整改、配合省市核查验收、最终成果归档移交、后期技术支撑全流程工作。</w:t>
            </w:r>
          </w:p>
          <w:p>
            <w:pPr>
              <w:pStyle w:val="null3"/>
            </w:pPr>
            <w:r>
              <w:rPr>
                <w:rFonts w:ascii="仿宋_GB2312" w:hAnsi="仿宋_GB2312" w:cs="仿宋_GB2312" w:eastAsia="仿宋_GB2312"/>
              </w:rPr>
              <w:t>2.服务对接范围：全程对接采购人、省级数据管理相关部门，配合完成各类数据核查、资料报送、问题沟通及整改复核工作，确保数据顺利汇交至省级数据库，完成最终入库备案。</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（一）执行标准</w:t>
            </w:r>
          </w:p>
          <w:p>
            <w:pPr>
              <w:pStyle w:val="null3"/>
            </w:pPr>
            <w:r>
              <w:rPr>
                <w:rFonts w:ascii="仿宋_GB2312" w:hAnsi="仿宋_GB2312" w:cs="仿宋_GB2312" w:eastAsia="仿宋_GB2312"/>
              </w:rPr>
              <w:t>1.严格遵循国家、陕西省相关技术规范，核心执行《地籍数据汇交要求（试行）》及《地籍图编制技术规范（试行）》，所有工作流程、数据标准、成果格式完全贴合省级汇交入库标准。</w:t>
            </w:r>
          </w:p>
          <w:p>
            <w:pPr>
              <w:pStyle w:val="null3"/>
            </w:pPr>
            <w:r>
              <w:rPr>
                <w:rFonts w:ascii="仿宋_GB2312" w:hAnsi="仿宋_GB2312" w:cs="仿宋_GB2312" w:eastAsia="仿宋_GB2312"/>
              </w:rPr>
              <w:t>2.数据基础严格执行CGCS2000国家大地坐标系、1985国家高程基准，投影方式、数据精度、字段结构、图层命名、目录架构与省级数据库完全一致，杜绝数据基础不规范导致的汇交失败。</w:t>
            </w:r>
          </w:p>
          <w:p>
            <w:pPr>
              <w:pStyle w:val="null3"/>
            </w:pPr>
            <w:r>
              <w:rPr>
                <w:rFonts w:ascii="仿宋_GB2312" w:hAnsi="仿宋_GB2312" w:cs="仿宋_GB2312" w:eastAsia="仿宋_GB2312"/>
              </w:rPr>
              <w:t>3.建立全程质量管控体系，实行“自检-复检-整改-复核”闭环管理机制，安排专职技术人员全程负责，确保数据质量达标，一次性通过省级质检。</w:t>
            </w:r>
          </w:p>
          <w:p>
            <w:pPr>
              <w:pStyle w:val="null3"/>
            </w:pPr>
            <w:r>
              <w:rPr>
                <w:rFonts w:ascii="仿宋_GB2312" w:hAnsi="仿宋_GB2312" w:cs="仿宋_GB2312" w:eastAsia="仿宋_GB2312"/>
              </w:rPr>
              <w:t>4.严格遵守数据及测绘数据保密管理规定，落实数据安全保密责任，全程做好数据防护、存储、传输及销毁工作，严禁数据泄露、外传、篡改、私自留存或用于本项目以外的其他用途，保障数据安全与权属信息保密。</w:t>
            </w:r>
          </w:p>
          <w:p>
            <w:pPr>
              <w:pStyle w:val="null3"/>
            </w:pPr>
            <w:r>
              <w:rPr>
                <w:rFonts w:ascii="仿宋_GB2312" w:hAnsi="仿宋_GB2312" w:cs="仿宋_GB2312" w:eastAsia="仿宋_GB2312"/>
              </w:rPr>
              <w:t>5.服从采购人统一管理，按照约定工期推进工作，及时汇报工作进度，主动对接省级汇交平台运维及管理部门，高效响应各类核查、整改及资料补充要求，直至项目完成验收、数据成功入库。</w:t>
            </w:r>
          </w:p>
          <w:p>
            <w:pPr>
              <w:pStyle w:val="null3"/>
            </w:pPr>
            <w:r>
              <w:rPr>
                <w:rFonts w:ascii="仿宋_GB2312" w:hAnsi="仿宋_GB2312" w:cs="仿宋_GB2312" w:eastAsia="仿宋_GB2312"/>
              </w:rPr>
              <w:t>（二）工作要求</w:t>
            </w:r>
          </w:p>
          <w:p>
            <w:pPr>
              <w:pStyle w:val="null3"/>
            </w:pPr>
            <w:r>
              <w:rPr>
                <w:rFonts w:ascii="仿宋_GB2312" w:hAnsi="仿宋_GB2312" w:cs="仿宋_GB2312" w:eastAsia="仿宋_GB2312"/>
              </w:rPr>
              <w:t>1.数据质量全面自检：对照省级汇交质检标准，开展全方位质量检查，重点核查基础一致性、空间拓扑合规性（无重叠、无裂缝、无悬挂节点、界址关系正确）、属性信息完整性（权利人信息、权属性质、用途、面积、四至、审批文号等关键字段齐全有效）、数据逻辑一致性（空间数据与属性数据匹配、面积勾稽关系正确、档案资料与数据信息一致）、档案资料规范性（地籍调查表、宗地图、扫描件清晰完整、签章齐全）。</w:t>
            </w:r>
          </w:p>
          <w:p>
            <w:pPr>
              <w:pStyle w:val="null3"/>
            </w:pPr>
            <w:r>
              <w:rPr>
                <w:rFonts w:ascii="仿宋_GB2312" w:hAnsi="仿宋_GB2312" w:cs="仿宋_GB2312" w:eastAsia="仿宋_GB2312"/>
              </w:rPr>
              <w:t>2.问题数据整改完善：针对自检发现的问题及后续省级质检反馈的问题，建立详细问题清单，明确整改措施、整改时限，逐项落实整改工作，形成完整整改记录及复核报告，整改完成后重新质检复核，确保所有问题全部闭环，无遗留问题。</w:t>
            </w:r>
          </w:p>
          <w:p>
            <w:pPr>
              <w:pStyle w:val="null3"/>
            </w:pPr>
            <w:r>
              <w:rPr>
                <w:rFonts w:ascii="仿宋_GB2312" w:hAnsi="仿宋_GB2312" w:cs="仿宋_GB2312" w:eastAsia="仿宋_GB2312"/>
              </w:rPr>
              <w:t>3.标准汇交包制作：按照省级汇交数据包规范，封装合格汇交数据包，包含矢量数据文件、属性数据库、元数据文件、影像数据、档案扫描件、数据自检报告、整改报告、汇交申请等全部必备资料，数据包格式、大小、命名完全符合平台上传要求。</w:t>
            </w:r>
          </w:p>
          <w:p>
            <w:pPr>
              <w:pStyle w:val="null3"/>
            </w:pPr>
            <w:r>
              <w:rPr>
                <w:rFonts w:ascii="仿宋_GB2312" w:hAnsi="仿宋_GB2312" w:cs="仿宋_GB2312" w:eastAsia="仿宋_GB2312"/>
              </w:rPr>
              <w:t>4.平台上报与跟踪：通过省级指定汇交平台完成数据包上传，实时跟踪数据接收、质检、审核状态，及时获取省级反馈意见，第一时间对接采购人开展整改工作，全程跟进直至数据通过省级审核并成功入库。</w:t>
            </w:r>
          </w:p>
          <w:p>
            <w:pPr>
              <w:pStyle w:val="null3"/>
            </w:pPr>
            <w:r>
              <w:rPr>
                <w:rFonts w:ascii="仿宋_GB2312" w:hAnsi="仿宋_GB2312" w:cs="仿宋_GB2312" w:eastAsia="仿宋_GB2312"/>
              </w:rPr>
              <w:t>5.验收与归档：配合采购人完成县级初步验收、省级最终验收工作，验收合格后，整理全套项目成果、工作资料、质检及整改材料，按照档案管理规范完成归档移交，提供完整的成果目录及归档说明。</w:t>
            </w:r>
          </w:p>
          <w:p>
            <w:pPr>
              <w:pStyle w:val="null3"/>
            </w:pPr>
            <w:r>
              <w:rPr>
                <w:rFonts w:ascii="仿宋_GB2312" w:hAnsi="仿宋_GB2312" w:cs="仿宋_GB2312" w:eastAsia="仿宋_GB2312"/>
              </w:rPr>
              <w:t>6.人员与技术保障：供应商需配备固定的专职技术团队，团队成员需熟悉地籍调查、数据汇交规范及省级平台操作流程，具备同类项目服务经验；配备符合数据安全及技术要求的软硬件设备，保障项目高效、顺利完成。</w:t>
            </w:r>
          </w:p>
          <w:p>
            <w:pPr>
              <w:pStyle w:val="null3"/>
            </w:pPr>
            <w:r>
              <w:rPr>
                <w:rFonts w:ascii="仿宋_GB2312" w:hAnsi="仿宋_GB2312" w:cs="仿宋_GB2312" w:eastAsia="仿宋_GB2312"/>
              </w:rPr>
              <w:t>三、成果标准</w:t>
            </w:r>
          </w:p>
          <w:p>
            <w:pPr>
              <w:pStyle w:val="null3"/>
            </w:pPr>
            <w:r>
              <w:rPr>
                <w:rFonts w:ascii="仿宋_GB2312" w:hAnsi="仿宋_GB2312" w:cs="仿宋_GB2312" w:eastAsia="仿宋_GB2312"/>
              </w:rPr>
              <w:t>（一）数据质量服务标准</w:t>
            </w:r>
          </w:p>
          <w:p>
            <w:pPr>
              <w:pStyle w:val="null3"/>
            </w:pPr>
            <w:r>
              <w:rPr>
                <w:rFonts w:ascii="仿宋_GB2312" w:hAnsi="仿宋_GB2312" w:cs="仿宋_GB2312" w:eastAsia="仿宋_GB2312"/>
              </w:rPr>
              <w:t>1.数据合规率达到100%：所有汇交数据的数学基础、格式规范、字段结构、拓扑关系、属性信息、档案资料全部符合国家及省级汇交规范，无违规项、无缺失项。</w:t>
            </w:r>
          </w:p>
          <w:p>
            <w:pPr>
              <w:pStyle w:val="null3"/>
            </w:pPr>
            <w:r>
              <w:rPr>
                <w:rFonts w:ascii="仿宋_GB2312" w:hAnsi="仿宋_GB2312" w:cs="仿宋_GB2312" w:eastAsia="仿宋_GB2312"/>
              </w:rPr>
              <w:t>2.汇交通过率标准：数据自检合格率达到100%，上报省级平台后一次性质检通过率不低于98%，若存在微小问题需整改，需在省级反馈后2个工作日内完成全部整改并重新上报复核，确保最终100%通过质检并成功入库，无重大质量问题。</w:t>
            </w:r>
          </w:p>
          <w:p>
            <w:pPr>
              <w:pStyle w:val="null3"/>
            </w:pPr>
            <w:r>
              <w:rPr>
                <w:rFonts w:ascii="仿宋_GB2312" w:hAnsi="仿宋_GB2312" w:cs="仿宋_GB2312" w:eastAsia="仿宋_GB2312"/>
              </w:rPr>
              <w:t>3.成果完整性标准：交付成果涵盖汇交数据包、自检报告、整改报告、汇交回执、入库凭证、工作总结、归档目录等全部资料，宗地数据、界址数据、属性数据、档案资料全覆盖，无遗漏、无缺漏。</w:t>
            </w:r>
          </w:p>
          <w:p>
            <w:pPr>
              <w:pStyle w:val="null3"/>
            </w:pPr>
            <w:r>
              <w:rPr>
                <w:rFonts w:ascii="仿宋_GB2312" w:hAnsi="仿宋_GB2312" w:cs="仿宋_GB2312" w:eastAsia="仿宋_GB2312"/>
              </w:rPr>
              <w:t>4.安全保密标准：严格执行《中华人民共和国保守国家秘密法》《测绘成果管理条例》及数据保密相关规定，项目全程无数据泄露、丢失、篡改、违规使用情况，项目结束后，按照要求销毁临时存储的原始数据及中间数据，留存资料仅用于归档备案。</w:t>
            </w:r>
          </w:p>
          <w:p>
            <w:pPr>
              <w:pStyle w:val="null3"/>
            </w:pPr>
            <w:r>
              <w:rPr>
                <w:rFonts w:ascii="仿宋_GB2312" w:hAnsi="仿宋_GB2312" w:cs="仿宋_GB2312" w:eastAsia="仿宋_GB2312"/>
              </w:rPr>
              <w:t>（二）工作进度标准</w:t>
            </w:r>
          </w:p>
          <w:p>
            <w:pPr>
              <w:pStyle w:val="null3"/>
            </w:pPr>
            <w:r>
              <w:rPr>
                <w:rFonts w:ascii="仿宋_GB2312" w:hAnsi="仿宋_GB2312" w:cs="仿宋_GB2312" w:eastAsia="仿宋_GB2312"/>
              </w:rPr>
              <w:t>1.合同签订后，服务单位需在个120天内完成全部外业地籍调查、测量、数据收集、自检、数据校准、打包归档等工作，并及时上报至省级汇交平台。</w:t>
            </w:r>
          </w:p>
          <w:p>
            <w:pPr>
              <w:pStyle w:val="null3"/>
            </w:pPr>
            <w:r>
              <w:rPr>
                <w:rFonts w:ascii="仿宋_GB2312" w:hAnsi="仿宋_GB2312" w:cs="仿宋_GB2312" w:eastAsia="仿宋_GB2312"/>
              </w:rPr>
              <w:t>2.成果要求：成套地籍数据电子版和纸质版文件。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单位必须实行严格的质量管理，确保实现采购人的需求，对不符合合同要求或采购人需求的，中标单位须无条件进行完善修改，直至达到要求为止。在项目负责人工作不得力的情况下（如技术不熟、管理不当等），采购人有权要求中标单位更换项目负责人，由此造成的项目进度的延误，由中标单位承担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合同签订后，服务单位需在个120天内完成全部外业地籍调查、测量、数据收集、自检、数据校准、打包归档等工作，并及时上报至省级汇交平台。</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渭南市白水县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符合采购文件和乙方投标文件标准和要求以及国家相关技术标准，所有数据成果符合国家及行业现行标准，一次性通过上级部门验收。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进度款，乙方完成成果编制工作后，达到付款条件起30个工作日内，支付合同总金额的30.0%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进度款，乙方完成全部地籍调查成果汇交工作及全部合同义务后，达到付款条件起30个工作日内，支付合同总金额的40.0%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版文件要求：中标（成交）供应商在中标（成交）结果公告发布后3个工作日内提供叁套纸质投标文件（经编标工具生成的文件直接打印并封面加盖公章），递交的纸质版文件内容确保与线上电子文件保持一致，不允许修改和补充；（2）根据《政府采购法实施条例》释义，银行、保险、石油石化、电力、电信等有行业特殊情况的，允许法人的分支机构参加政府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供应商需在项目电子化交易系统中按要求填写《投标函》完成承诺及基本资格要求内填写《供应商企业关系关联承诺书》并进行电子签章。</w:t>
            </w:r>
          </w:p>
        </w:tc>
        <w:tc>
          <w:tcPr>
            <w:tcW w:type="dxa" w:w="1661"/>
          </w:tcPr>
          <w:p>
            <w:pPr>
              <w:pStyle w:val="null3"/>
            </w:pPr>
            <w:r>
              <w:rPr>
                <w:rFonts w:ascii="仿宋_GB2312" w:hAnsi="仿宋_GB2312" w:cs="仿宋_GB2312" w:eastAsia="仿宋_GB2312"/>
              </w:rPr>
              <w:t>投标函 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基本资格要求.docx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法定代表人或其授权代表委托书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具有测绘主管部门颁发的乙级及以上测绘资质</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拟派项目负责人须具备注册测绘师资格或相关专业中级以上（含中级）技术职称</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招标文件商务要求响应情况，若负偏离，投标无效。</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招标文件技术要求响应情况，若加★号负偏离， 投标无效。</w:t>
            </w:r>
          </w:p>
        </w:tc>
        <w:tc>
          <w:tcPr>
            <w:tcW w:type="dxa" w:w="1661"/>
          </w:tcPr>
          <w:p>
            <w:pPr>
              <w:pStyle w:val="null3"/>
            </w:pPr>
            <w:r>
              <w:rPr>
                <w:rFonts w:ascii="仿宋_GB2312" w:hAnsi="仿宋_GB2312" w:cs="仿宋_GB2312" w:eastAsia="仿宋_GB2312"/>
              </w:rPr>
              <w:t>技术应答表.docx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投标有效期不少于招标文件要求，否则其投标无效。</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出现不符合法律法规和招标文件中规定的其他实质性要求的情况，投标无效。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供应商投标文件按照规定的格式和内容填写，内容清晰，签字盖章符合要求。</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投标人提供针对本项目需求，提供详细、清晰、科学、合理的服务方案，包含但不限于：①历史地籍资料的收集②编制标准规范方案③工作流程④数据整理⑤数据汇交分析整合能力⑥实施保障措施。 以上内容无缺项，专门针对本项目编制，符合本项目实际情况，内容全面详细，且条理清晰、准确、合理，能够保障项目顺利实施的每小项得2分。每小项缺项或者内容非针对于本项目的扣2分，每小项有一处缺陷的扣0.4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1、服务方案.docx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投标人针对项目特点和执行要求制定具体的管理方案，包含但不限于：①项目组织的工作团队；②内部监督检查制度；③质量及安全把关制度；④纪律约束制度等；⑤投入人员安全生产管理制度。 以上内容无缺项，专门针对本项目编制，符合本项目实际情况，内容全面详细，且条理清晰、准确、合理，能够保障项目顺利实施的每小项得2分。每小项缺项或者内容非针对于本项目的扣2分，每小项有一处缺陷的扣0.4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2、项目管理方案.docx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投标人针对本项目提供的质量保证措施：包含但不限于①质量管理制度；②质量控制措施。 以上内容无缺项，专门针对本项目编制，符合本项目实际情况，内容全面详细，且条理清晰、准确、合理，能够保障项目顺利实施的每小项得2分。每小项缺项或者内容非针对于本项目的扣2分，每小项有一处缺陷的扣0.2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每小项得2分。每小项缺项或者内容非针对于本项目的扣2分，每小项有一处缺陷的扣0.2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4、进度保证措施.docx</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投标人针对本项目重、难点分析方案：包含但不限于①重难点分析；②重难点解决对策。 以上内容无缺项，专门针对本项目编制，符合本项目实际情况，内容全面详细，且条理清晰、准确、合理，能够保障项目顺利实施的每小项得2分。每小项缺项或者内容非针对于本项目的扣2分，每小项有一处缺陷的扣0.2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5、重、难点分析方案.docx</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投标人针对本项目有具体的服务承诺、合理化建议及意见：包含但不限于①服务承诺；②合理化建议及意见。 以上内容无缺项，专门针对本项目编制，符合本项目实际情况，内容全面详细，且条理清晰、准确、合理，能够保障项目顺利实施的每小项得1.5分。每小项缺项或者内容非针对于本项目的扣1.5分，每小项有一处缺陷的扣0.2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6、服务承诺、合理化建议.docx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投标人针对本项目有具体的保密措施。 以上内容无缺项，专门针对本项目编制，符合本项目实际情况，内容全面详细，且条理清晰、准确、合理，能够保障项目顺利实施的每小项得3分。每小项缺项或者内容非针对于本项目的扣2分，每小项有一处缺陷的扣0.2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7、保密措施.docx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拟投入本项目的专业技术人员（不含项目负责人）：每提供一个相关专业初级级职称人员得1分，每提供一个中级职称人员得2分，每提供1个相关专业高级职称或注册证人员得3分，最高得16分。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8、团队人员配备.docx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项目负责人具有2023年6月1日以来(以合同签订时间为准)类似业绩，每提供一份合同得3分，最高得6分。 评审材料:合同中要体现项目负责人名称或成果文件中体现项目负责人名称或业主方出具的工作证明；投标文件中提供完整合同复印件并加盖投标人公章，未提供或提供不完整的不得分。注：项目负责人业绩与企业业绩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9、项目负责人.docx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投标人具有2023年6月1日以来(以合同签订时间为准)类似业绩，每提供一份合同得2分，最高得8分。 评审材料:投标文件中提供完整合同复印件并加盖投标人公章，未提供或提供不完整的不得分。注：项目负责人业绩与企业业绩重复计分。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详见附件：拒绝贿赂承诺书.docx</w:t>
      </w:r>
    </w:p>
    <w:p>
      <w:pPr>
        <w:pStyle w:val="null3"/>
        <w:ind w:firstLine="960"/>
      </w:pPr>
      <w:r>
        <w:rPr>
          <w:rFonts w:ascii="仿宋_GB2312" w:hAnsi="仿宋_GB2312" w:cs="仿宋_GB2312" w:eastAsia="仿宋_GB2312"/>
        </w:rPr>
        <w:t>详见附件：基本资格要求.docx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详见附件：1、服务方案.docx</w:t>
      </w:r>
    </w:p>
    <w:p>
      <w:pPr>
        <w:pStyle w:val="null3"/>
        <w:ind w:firstLine="960"/>
      </w:pPr>
      <w:r>
        <w:rPr>
          <w:rFonts w:ascii="仿宋_GB2312" w:hAnsi="仿宋_GB2312" w:cs="仿宋_GB2312" w:eastAsia="仿宋_GB2312"/>
        </w:rPr>
        <w:t>详见附件：2、项目管理方案.docx</w:t>
      </w:r>
    </w:p>
    <w:p>
      <w:pPr>
        <w:pStyle w:val="null3"/>
        <w:ind w:firstLine="960"/>
      </w:pPr>
      <w:r>
        <w:rPr>
          <w:rFonts w:ascii="仿宋_GB2312" w:hAnsi="仿宋_GB2312" w:cs="仿宋_GB2312" w:eastAsia="仿宋_GB2312"/>
        </w:rPr>
        <w:t>详见附件：3、质量保证措施.docx</w:t>
      </w:r>
    </w:p>
    <w:p>
      <w:pPr>
        <w:pStyle w:val="null3"/>
        <w:ind w:firstLine="960"/>
      </w:pPr>
      <w:r>
        <w:rPr>
          <w:rFonts w:ascii="仿宋_GB2312" w:hAnsi="仿宋_GB2312" w:cs="仿宋_GB2312" w:eastAsia="仿宋_GB2312"/>
        </w:rPr>
        <w:t>详见附件：4、进度保证措施.docx</w:t>
      </w:r>
    </w:p>
    <w:p>
      <w:pPr>
        <w:pStyle w:val="null3"/>
        <w:ind w:firstLine="960"/>
      </w:pPr>
      <w:r>
        <w:rPr>
          <w:rFonts w:ascii="仿宋_GB2312" w:hAnsi="仿宋_GB2312" w:cs="仿宋_GB2312" w:eastAsia="仿宋_GB2312"/>
        </w:rPr>
        <w:t>详见附件：5、重、难点分析方案.docx</w:t>
      </w:r>
    </w:p>
    <w:p>
      <w:pPr>
        <w:pStyle w:val="null3"/>
        <w:ind w:firstLine="960"/>
      </w:pPr>
      <w:r>
        <w:rPr>
          <w:rFonts w:ascii="仿宋_GB2312" w:hAnsi="仿宋_GB2312" w:cs="仿宋_GB2312" w:eastAsia="仿宋_GB2312"/>
        </w:rPr>
        <w:t>详见附件：6、服务承诺、合理化建议.docx</w:t>
      </w:r>
    </w:p>
    <w:p>
      <w:pPr>
        <w:pStyle w:val="null3"/>
        <w:ind w:firstLine="960"/>
      </w:pPr>
      <w:r>
        <w:rPr>
          <w:rFonts w:ascii="仿宋_GB2312" w:hAnsi="仿宋_GB2312" w:cs="仿宋_GB2312" w:eastAsia="仿宋_GB2312"/>
        </w:rPr>
        <w:t>详见附件：7、保密措施.docx</w:t>
      </w:r>
    </w:p>
    <w:p>
      <w:pPr>
        <w:pStyle w:val="null3"/>
        <w:ind w:firstLine="960"/>
      </w:pPr>
      <w:r>
        <w:rPr>
          <w:rFonts w:ascii="仿宋_GB2312" w:hAnsi="仿宋_GB2312" w:cs="仿宋_GB2312" w:eastAsia="仿宋_GB2312"/>
        </w:rPr>
        <w:t>详见附件：8、团队人员配备.docx</w:t>
      </w:r>
    </w:p>
    <w:p>
      <w:pPr>
        <w:pStyle w:val="null3"/>
        <w:ind w:firstLine="960"/>
      </w:pPr>
      <w:r>
        <w:rPr>
          <w:rFonts w:ascii="仿宋_GB2312" w:hAnsi="仿宋_GB2312" w:cs="仿宋_GB2312" w:eastAsia="仿宋_GB2312"/>
        </w:rPr>
        <w:t>详见附件：9、项目负责人.docx</w:t>
      </w:r>
    </w:p>
    <w:p>
      <w:pPr>
        <w:pStyle w:val="null3"/>
        <w:ind w:firstLine="960"/>
      </w:pPr>
      <w:r>
        <w:rPr>
          <w:rFonts w:ascii="仿宋_GB2312" w:hAnsi="仿宋_GB2312" w:cs="仿宋_GB2312" w:eastAsia="仿宋_GB2312"/>
        </w:rPr>
        <w:t>详见附件：10、业绩.docx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详见附件：技术服务合同.docx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