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版本号：DQA-2026072-CS20260720001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自营食堂2026-2027学年其他食材原料配送项目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DQA-2026072-CS</w:t>
      </w:r>
      <w:r>
        <w:br/>
      </w:r>
      <w:r>
        <w:br/>
      </w:r>
      <w:r>
        <w:br/>
      </w:r>
    </w:p>
    <w:p>
      <w:pPr>
        <w:pStyle w:val="null3"/>
        <w:jc w:val="center"/>
        <w:outlineLvl w:val="2"/>
      </w:pPr>
      <w:r>
        <w:rPr>
          <w:rFonts w:ascii="仿宋_GB2312" w:hAnsi="仿宋_GB2312" w:cs="仿宋_GB2312" w:eastAsia="仿宋_GB2312"/>
          <w:sz w:val="28"/>
          <w:b/>
        </w:rPr>
        <w:t>西安航空学院</w:t>
      </w:r>
    </w:p>
    <w:p>
      <w:pPr>
        <w:pStyle w:val="null3"/>
        <w:jc w:val="center"/>
        <w:outlineLvl w:val="2"/>
      </w:pPr>
      <w:r>
        <w:rPr>
          <w:rFonts w:ascii="仿宋_GB2312" w:hAnsi="仿宋_GB2312" w:cs="仿宋_GB2312" w:eastAsia="仿宋_GB2312"/>
          <w:sz w:val="28"/>
          <w:b/>
        </w:rPr>
        <w:t>陕西德勤招标有限公司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陕西德勤招标有限公司</w:t>
      </w:r>
      <w:r>
        <w:rPr>
          <w:rFonts w:ascii="仿宋_GB2312" w:hAnsi="仿宋_GB2312" w:cs="仿宋_GB2312" w:eastAsia="仿宋_GB2312"/>
        </w:rPr>
        <w:t>（以下简称“代理机构”）受</w:t>
      </w:r>
      <w:r>
        <w:rPr>
          <w:rFonts w:ascii="仿宋_GB2312" w:hAnsi="仿宋_GB2312" w:cs="仿宋_GB2312" w:eastAsia="仿宋_GB2312"/>
        </w:rPr>
        <w:t>西安航空学院</w:t>
      </w:r>
      <w:r>
        <w:rPr>
          <w:rFonts w:ascii="仿宋_GB2312" w:hAnsi="仿宋_GB2312" w:cs="仿宋_GB2312" w:eastAsia="仿宋_GB2312"/>
        </w:rPr>
        <w:t>委托，拟对</w:t>
      </w:r>
      <w:r>
        <w:rPr>
          <w:rFonts w:ascii="仿宋_GB2312" w:hAnsi="仿宋_GB2312" w:cs="仿宋_GB2312" w:eastAsia="仿宋_GB2312"/>
        </w:rPr>
        <w:t>自营食堂2026-2027学年其他食材原料配送项目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DQA-2026072-CS</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自营食堂2026-2027学年其他食材原料配送项目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西安航空学院自营食堂2026-2027学年其他食材原料配送项目，按照采购人要求在规定条件下完成服务。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采购包1（西安航空学院自营食堂2026-2027学年其他食材原料配送项目）：属于专门面向中小企业采购。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1、主体资格证明文件：提供有效存续的企业营业执照（副本）。</w:t>
      </w:r>
    </w:p>
    <w:p>
      <w:pPr>
        <w:pStyle w:val="null3"/>
      </w:pPr>
      <w:r>
        <w:rPr>
          <w:rFonts w:ascii="仿宋_GB2312" w:hAnsi="仿宋_GB2312" w:cs="仿宋_GB2312" w:eastAsia="仿宋_GB2312"/>
        </w:rPr>
        <w:t>2、财务状况报告：提供2024年度或2025年度经审计的财务报告，报告须具有注册会计师行业统一监管平台赋予的验证码(成立时间至提交响应文件截止时间不足一年的可提供成立后任意时段的资产负债表)，或其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3、书面声明：提供书面声明，包括声明具有履行合同所必需的设备和专业技术能力。</w:t>
      </w:r>
    </w:p>
    <w:p>
      <w:pPr>
        <w:pStyle w:val="null3"/>
      </w:pPr>
      <w:r>
        <w:rPr>
          <w:rFonts w:ascii="仿宋_GB2312" w:hAnsi="仿宋_GB2312" w:cs="仿宋_GB2312" w:eastAsia="仿宋_GB2312"/>
        </w:rPr>
        <w:t>4、社保缴纳证明：提供递交响应文件截止之日前一年内任意一个月的社会保障资金缴存单据或社保机构开具的社会保险参保缴费情况证明。依法不需要缴纳社会保障资金的供应商应提供相关文件证明。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税收缴纳证明：提供递交响应文件截止之日前一年内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6、近三年无重大违法、违纪书面声明：提供《近三年无重大违法、违纪书面声明》。</w:t>
      </w:r>
    </w:p>
    <w:p>
      <w:pPr>
        <w:pStyle w:val="null3"/>
      </w:pPr>
      <w:r>
        <w:rPr>
          <w:rFonts w:ascii="仿宋_GB2312" w:hAnsi="仿宋_GB2312" w:cs="仿宋_GB2312" w:eastAsia="仿宋_GB2312"/>
        </w:rPr>
        <w:t>7、控股管理关系：提供直接控股和管理关系清单。若与其他供应商存在单位负责人为同一人或者存在直接控股、管理关系的，则响应无效。</w:t>
      </w:r>
    </w:p>
    <w:p>
      <w:pPr>
        <w:pStyle w:val="null3"/>
      </w:pPr>
      <w:r>
        <w:rPr>
          <w:rFonts w:ascii="仿宋_GB2312" w:hAnsi="仿宋_GB2312" w:cs="仿宋_GB2312" w:eastAsia="仿宋_GB2312"/>
        </w:rPr>
        <w:t>8、法定代表人授权委托书：法定代表人参加磋商的，须提供本人身份证复印件(附在响应文件中)；法定代表人授权他人参加磋商的，须提供法定代表人授权委托书，同时需提供被授权人开标前3个月内任意1个月的社保缴纳证明（依法不需要缴纳社保的被授权人应提供相关证明）。响应文件中凡是需要法定代表人盖章之处，非法人单位的负责人均参照执行。 法人的分支机构参与磋商时，除提供《法定代表人授权委托书》外，还须同时提供法人给分支机构出具的授权书。</w:t>
      </w:r>
    </w:p>
    <w:p>
      <w:pPr>
        <w:pStyle w:val="null3"/>
      </w:pPr>
      <w:r>
        <w:rPr>
          <w:rFonts w:ascii="仿宋_GB2312" w:hAnsi="仿宋_GB2312" w:cs="仿宋_GB2312" w:eastAsia="仿宋_GB2312"/>
        </w:rPr>
        <w:t>9、本项目不接受联合体磋商，不允许分包：供应商应提供《非联合体不分包磋商声明》，视为独立磋商，不分包。</w:t>
      </w:r>
    </w:p>
    <w:p>
      <w:pPr>
        <w:pStyle w:val="null3"/>
      </w:pPr>
      <w:r>
        <w:rPr>
          <w:rFonts w:ascii="仿宋_GB2312" w:hAnsi="仿宋_GB2312" w:cs="仿宋_GB2312" w:eastAsia="仿宋_GB2312"/>
        </w:rPr>
        <w:t>10、特定资格要求：供应商须提供《食品经营许可证》，供应商所投肉类（或禽类）具备动物卫生监督机构出具的《动物检疫合格证明》。（提供2026年的检疫合格证明复印件加盖供应商单位公章）。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西安航空学院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西二环259号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谢老师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029-81672802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陕西德勤招标有限公司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陕西省西安市高新区丈八一路1号汇鑫中心D座2206室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贾旭鸣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029-81169855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开户名称：陕西德勤招标有限公司</w:t>
            </w:r>
          </w:p>
          <w:p>
            <w:pPr>
              <w:pStyle w:val="null3"/>
            </w:pPr>
            <w:r>
              <w:rPr>
                <w:rFonts w:ascii="仿宋_GB2312" w:hAnsi="仿宋_GB2312" w:cs="仿宋_GB2312" w:eastAsia="仿宋_GB2312"/>
              </w:rPr>
              <w:t>开户银行：光大银行西安丈八东路支行</w:t>
            </w:r>
          </w:p>
          <w:p>
            <w:pPr>
              <w:pStyle w:val="null3"/>
            </w:pPr>
            <w:r>
              <w:rPr>
                <w:rFonts w:ascii="仿宋_GB2312" w:hAnsi="仿宋_GB2312" w:cs="仿宋_GB2312" w:eastAsia="仿宋_GB2312"/>
              </w:rPr>
              <w:t>银行账号：52880188000165345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说明：签订合同后缴纳。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发改价格【2011】534号文规定，由成交供应商向采购代理机构支付招标代理服务费（因本项目为据实结算，无具体成交价，故招标代理服务费以预算金额作为计费基数，即招标代理服务费=预算金额*1.5%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西安航空学院</w:t>
      </w:r>
      <w:r>
        <w:rPr>
          <w:rFonts w:ascii="仿宋_GB2312" w:hAnsi="仿宋_GB2312" w:cs="仿宋_GB2312" w:eastAsia="仿宋_GB2312"/>
        </w:rPr>
        <w:t>和</w:t>
      </w:r>
      <w:r>
        <w:rPr>
          <w:rFonts w:ascii="仿宋_GB2312" w:hAnsi="仿宋_GB2312" w:cs="仿宋_GB2312" w:eastAsia="仿宋_GB2312"/>
        </w:rPr>
        <w:t>陕西德勤招标有限公司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西安航空学院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陕西德勤招标有限公司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西安航空学院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陕西德勤招标有限公司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按合同约定执行。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联系人：贾旭鸣</w:t>
      </w:r>
    </w:p>
    <w:p>
      <w:pPr>
        <w:pStyle w:val="null3"/>
      </w:pPr>
      <w:r>
        <w:rPr>
          <w:rFonts w:ascii="仿宋_GB2312" w:hAnsi="仿宋_GB2312" w:cs="仿宋_GB2312" w:eastAsia="仿宋_GB2312"/>
        </w:rPr>
        <w:t>联系电话：029-81169855</w:t>
      </w:r>
    </w:p>
    <w:p>
      <w:pPr>
        <w:pStyle w:val="null3"/>
      </w:pPr>
      <w:r>
        <w:rPr>
          <w:rFonts w:ascii="仿宋_GB2312" w:hAnsi="仿宋_GB2312" w:cs="仿宋_GB2312" w:eastAsia="仿宋_GB2312"/>
        </w:rPr>
        <w:t>地址：陕西省西安市高新区丈八一路1号汇鑫中心D座2206室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西安航空学院自营食堂2026-2027学年其他食材原料配送项目，按照采购人要求在规定条件下完成服务。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西安航空学院自营食堂2026-2027学年其他食材原料配送项目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标的名称：西安航空学院自营食堂2026-2027学年其他食材原料配送项目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w:t>
            </w:r>
            <w:r>
              <w:rPr>
                <w:rFonts w:ascii="仿宋_GB2312" w:hAnsi="仿宋_GB2312" w:cs="仿宋_GB2312" w:eastAsia="仿宋_GB2312"/>
                <w:sz w:val="24"/>
                <w:b/>
              </w:rPr>
              <w:t>. 项目概述</w:t>
            </w:r>
          </w:p>
          <w:p>
            <w:pPr>
              <w:pStyle w:val="null3"/>
              <w:jc w:val="both"/>
            </w:pPr>
            <w:r>
              <w:rPr>
                <w:rFonts w:ascii="仿宋_GB2312" w:hAnsi="仿宋_GB2312" w:cs="仿宋_GB2312" w:eastAsia="仿宋_GB2312"/>
                <w:sz w:val="24"/>
              </w:rPr>
              <w:t>学校自营食堂现为阎良校区二餐厅二楼学子食府，经营面积约</w:t>
            </w:r>
            <w:r>
              <w:rPr>
                <w:rFonts w:ascii="仿宋_GB2312" w:hAnsi="仿宋_GB2312" w:cs="仿宋_GB2312" w:eastAsia="仿宋_GB2312"/>
                <w:sz w:val="24"/>
              </w:rPr>
              <w:t>3000平方，设置档口数为14个，还有包间接待区服务，日常蔬菜食材、饮料饮品及其他易耗品由学校统一采购，采购流程</w:t>
            </w:r>
            <w:r>
              <w:rPr>
                <w:rFonts w:ascii="仿宋_GB2312" w:hAnsi="仿宋_GB2312" w:cs="仿宋_GB2312" w:eastAsia="仿宋_GB2312"/>
                <w:sz w:val="24"/>
              </w:rPr>
              <w:t>遵守</w:t>
            </w:r>
            <w:r>
              <w:rPr>
                <w:rFonts w:ascii="仿宋_GB2312" w:hAnsi="仿宋_GB2312" w:cs="仿宋_GB2312" w:eastAsia="仿宋_GB2312"/>
                <w:sz w:val="24"/>
              </w:rPr>
              <w:t>学校</w:t>
            </w:r>
            <w:r>
              <w:rPr>
                <w:rFonts w:ascii="仿宋_GB2312" w:hAnsi="仿宋_GB2312" w:cs="仿宋_GB2312" w:eastAsia="仿宋_GB2312"/>
                <w:sz w:val="24"/>
              </w:rPr>
              <w:t>管理规定</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二</w:t>
            </w:r>
            <w:r>
              <w:rPr>
                <w:rFonts w:ascii="仿宋_GB2312" w:hAnsi="仿宋_GB2312" w:cs="仿宋_GB2312" w:eastAsia="仿宋_GB2312"/>
                <w:sz w:val="24"/>
                <w:b/>
              </w:rPr>
              <w:t>.</w:t>
            </w:r>
            <w:r>
              <w:rPr>
                <w:rFonts w:ascii="仿宋_GB2312" w:hAnsi="仿宋_GB2312" w:cs="仿宋_GB2312" w:eastAsia="仿宋_GB2312"/>
                <w:sz w:val="24"/>
                <w:b/>
              </w:rPr>
              <w:t>供货要求</w:t>
            </w:r>
          </w:p>
          <w:p>
            <w:pPr>
              <w:pStyle w:val="null3"/>
              <w:jc w:val="both"/>
            </w:pPr>
            <w:r>
              <w:rPr>
                <w:rFonts w:ascii="仿宋_GB2312" w:hAnsi="仿宋_GB2312" w:cs="仿宋_GB2312" w:eastAsia="仿宋_GB2312"/>
                <w:sz w:val="24"/>
              </w:rPr>
              <w:t>乙方应严格按照甲方要求的质量、数量及规格提供货品，所提供的货品应符合国家法律法规及行业标准的要求，并提供相关书面材料，包括但不限于所供货品的溯源证明材料及相关检测报告，如营业执照、食品经营许可证及检测报告等。</w:t>
            </w:r>
          </w:p>
          <w:p>
            <w:pPr>
              <w:pStyle w:val="null3"/>
              <w:jc w:val="both"/>
            </w:pPr>
            <w:r>
              <w:rPr>
                <w:rFonts w:ascii="仿宋_GB2312" w:hAnsi="仿宋_GB2312" w:cs="仿宋_GB2312" w:eastAsia="仿宋_GB2312"/>
                <w:sz w:val="24"/>
                <w:b/>
              </w:rPr>
              <w:t>三</w:t>
            </w:r>
            <w:r>
              <w:rPr>
                <w:rFonts w:ascii="仿宋_GB2312" w:hAnsi="仿宋_GB2312" w:cs="仿宋_GB2312" w:eastAsia="仿宋_GB2312"/>
                <w:sz w:val="24"/>
                <w:b/>
              </w:rPr>
              <w:t>.</w:t>
            </w:r>
            <w:r>
              <w:rPr>
                <w:rFonts w:ascii="仿宋_GB2312" w:hAnsi="仿宋_GB2312" w:cs="仿宋_GB2312" w:eastAsia="仿宋_GB2312"/>
                <w:sz w:val="24"/>
                <w:b/>
              </w:rPr>
              <w:t>项目需求</w:t>
            </w:r>
          </w:p>
          <w:p>
            <w:pPr>
              <w:pStyle w:val="null3"/>
              <w:jc w:val="both"/>
            </w:pPr>
            <w:r>
              <w:rPr>
                <w:rFonts w:ascii="仿宋_GB2312" w:hAnsi="仿宋_GB2312" w:cs="仿宋_GB2312" w:eastAsia="仿宋_GB2312"/>
                <w:sz w:val="24"/>
              </w:rPr>
              <w:t>（一）配送商品应符合下述质量要求：</w:t>
            </w:r>
          </w:p>
          <w:p>
            <w:pPr>
              <w:pStyle w:val="null3"/>
              <w:jc w:val="both"/>
            </w:pPr>
            <w:r>
              <w:rPr>
                <w:rFonts w:ascii="仿宋_GB2312" w:hAnsi="仿宋_GB2312" w:cs="仿宋_GB2312" w:eastAsia="仿宋_GB2312"/>
                <w:sz w:val="24"/>
              </w:rPr>
              <w:t>1、蔬菜、水果类：</w:t>
            </w:r>
          </w:p>
          <w:p>
            <w:pPr>
              <w:pStyle w:val="null3"/>
              <w:jc w:val="both"/>
            </w:pPr>
            <w:r>
              <w:rPr>
                <w:rFonts w:ascii="仿宋_GB2312" w:hAnsi="仿宋_GB2312" w:cs="仿宋_GB2312" w:eastAsia="仿宋_GB2312"/>
                <w:sz w:val="24"/>
              </w:rPr>
              <w:t>蔬菜类必须保证无黄叶、枯死叶、无虫、无杂质，须</w:t>
            </w:r>
            <w:r>
              <w:rPr>
                <w:rFonts w:ascii="仿宋_GB2312" w:hAnsi="仿宋_GB2312" w:cs="仿宋_GB2312" w:eastAsia="仿宋_GB2312"/>
                <w:sz w:val="24"/>
              </w:rPr>
              <w:t>48小时内采摘供应，原菜须保证菜面干净、无明显泥土、无破损、大小基本统一，不得过熟或欠熟，不得以次充好。净菜须保证菜面完全干净，无泥土，按统一标准加工。</w:t>
            </w:r>
          </w:p>
          <w:p>
            <w:pPr>
              <w:pStyle w:val="null3"/>
              <w:jc w:val="both"/>
            </w:pPr>
            <w:r>
              <w:rPr>
                <w:rFonts w:ascii="仿宋_GB2312" w:hAnsi="仿宋_GB2312" w:cs="仿宋_GB2312" w:eastAsia="仿宋_GB2312"/>
                <w:sz w:val="24"/>
              </w:rPr>
              <w:t>水果须无虫、无杂质、无破损，大小统一，果面干净有光泽，新鲜程度高，口感要好，不得过熟或欠熟。</w:t>
            </w:r>
          </w:p>
          <w:p>
            <w:pPr>
              <w:pStyle w:val="null3"/>
              <w:jc w:val="both"/>
            </w:pPr>
            <w:r>
              <w:rPr>
                <w:rFonts w:ascii="仿宋_GB2312" w:hAnsi="仿宋_GB2312" w:cs="仿宋_GB2312" w:eastAsia="仿宋_GB2312"/>
                <w:sz w:val="24"/>
              </w:rPr>
              <w:t>2、肉禽、水产品类：</w:t>
            </w:r>
          </w:p>
          <w:p>
            <w:pPr>
              <w:pStyle w:val="null3"/>
              <w:jc w:val="both"/>
            </w:pPr>
            <w:r>
              <w:rPr>
                <w:rFonts w:ascii="仿宋_GB2312" w:hAnsi="仿宋_GB2312" w:cs="仿宋_GB2312" w:eastAsia="仿宋_GB2312"/>
                <w:sz w:val="24"/>
              </w:rPr>
              <w:t>肉禽按采购方要求的品牌提供当日新鲜的肉品，肉身必须盖有卫生检疫章，须出具加盖国家或地方政府监督所检疫章的动物检疫证明。新鲜的肉品须表皮洁净、色泽鲜亮、纹理清晰、肉质细腻、无异味、去骨、无毛、按压无水迹、无异味。须低温储藏运输。</w:t>
            </w:r>
          </w:p>
          <w:p>
            <w:pPr>
              <w:pStyle w:val="null3"/>
              <w:jc w:val="both"/>
            </w:pPr>
            <w:r>
              <w:rPr>
                <w:rFonts w:ascii="仿宋_GB2312" w:hAnsi="仿宋_GB2312" w:cs="仿宋_GB2312" w:eastAsia="仿宋_GB2312"/>
                <w:sz w:val="24"/>
              </w:rPr>
              <w:t>水产须鲜活，体表光滑无病灶，鳞片完整，肉质鲜嫩有弹性，无变色、变质、无异味、无浑浊粘液，内脏清晰可辨无病变、无腐烂。净鱼须在以上鲜活基础上按要求进行无污染净杀切块，须低温储藏运输。预包装食品外包装完整无破损，封口完好，有生产日期品牌、品名、生产日期、保质期、储存条件、生产厂家、产地、成份等信。无解冻、包装袋破损、变味、变色、变质、杂质、掺假等现象，须全程冷冻储存运输，符合国家绿色批发市场标准。</w:t>
            </w:r>
          </w:p>
          <w:p>
            <w:pPr>
              <w:pStyle w:val="null3"/>
              <w:jc w:val="both"/>
            </w:pPr>
            <w:r>
              <w:rPr>
                <w:rFonts w:ascii="仿宋_GB2312" w:hAnsi="仿宋_GB2312" w:cs="仿宋_GB2312" w:eastAsia="仿宋_GB2312"/>
                <w:sz w:val="24"/>
              </w:rPr>
              <w:t>3、豆制品类</w:t>
            </w:r>
          </w:p>
          <w:p>
            <w:pPr>
              <w:pStyle w:val="null3"/>
              <w:jc w:val="both"/>
            </w:pPr>
            <w:r>
              <w:rPr>
                <w:rFonts w:ascii="仿宋_GB2312" w:hAnsi="仿宋_GB2312" w:cs="仿宋_GB2312" w:eastAsia="仿宋_GB2312"/>
                <w:sz w:val="24"/>
              </w:rPr>
              <w:t>乙方供应全部豆制品须符合</w:t>
            </w:r>
            <w:r>
              <w:rPr>
                <w:rFonts w:ascii="仿宋_GB2312" w:hAnsi="仿宋_GB2312" w:cs="仿宋_GB2312" w:eastAsia="仿宋_GB2312"/>
                <w:sz w:val="24"/>
              </w:rPr>
              <w:t>GB 2712国家标准，采用非转基因大豆原料；鲜豆腐、千张等湿豆制品当日生产当日冷链配送，全程温控0-8℃，6小时内送达。产品色泽正常、豆香纯正，无发酸发黏、霉变异味、外来杂质，不违规添加防腐剂、增白剂。随货附带批次检验合格证，标签信息完整，剩余保质期不低于三分之二。配送使用食品级密封保温容器，荤素分开运输。到货感官、温度、文件任一不达标甲方有权整批拒收，微生物、重金属抽检不合格乙方承担全部损失及食品安全责任。</w:t>
            </w:r>
          </w:p>
          <w:p>
            <w:pPr>
              <w:pStyle w:val="null3"/>
              <w:jc w:val="both"/>
            </w:pPr>
            <w:r>
              <w:rPr>
                <w:rFonts w:ascii="仿宋_GB2312" w:hAnsi="仿宋_GB2312" w:cs="仿宋_GB2312" w:eastAsia="仿宋_GB2312"/>
                <w:sz w:val="24"/>
              </w:rPr>
              <w:t>4、其他</w:t>
            </w:r>
            <w:r>
              <w:rPr>
                <w:rFonts w:ascii="仿宋_GB2312" w:hAnsi="仿宋_GB2312" w:cs="仿宋_GB2312" w:eastAsia="仿宋_GB2312"/>
                <w:sz w:val="24"/>
              </w:rPr>
              <w:t>类</w:t>
            </w:r>
            <w:r>
              <w:rPr>
                <w:rFonts w:ascii="仿宋_GB2312" w:hAnsi="仿宋_GB2312" w:cs="仿宋_GB2312" w:eastAsia="仿宋_GB2312"/>
                <w:sz w:val="24"/>
              </w:rPr>
              <w:t>（</w:t>
            </w:r>
            <w:r>
              <w:rPr>
                <w:rFonts w:ascii="仿宋_GB2312" w:hAnsi="仿宋_GB2312" w:cs="仿宋_GB2312" w:eastAsia="仿宋_GB2312"/>
                <w:sz w:val="24"/>
              </w:rPr>
              <w:t>饮料、易耗品等）</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预包装</w:t>
            </w:r>
            <w:r>
              <w:rPr>
                <w:rFonts w:ascii="仿宋_GB2312" w:hAnsi="仿宋_GB2312" w:cs="仿宋_GB2312" w:eastAsia="仿宋_GB2312"/>
                <w:sz w:val="24"/>
              </w:rPr>
              <w:t>食品</w:t>
            </w:r>
            <w:r>
              <w:rPr>
                <w:rFonts w:ascii="仿宋_GB2312" w:hAnsi="仿宋_GB2312" w:cs="仿宋_GB2312" w:eastAsia="仿宋_GB2312"/>
                <w:sz w:val="24"/>
              </w:rPr>
              <w:t>外包装上必须标明品牌、品名、生产日期、保质期、储存条件、生产厂家、产地、成份等信息</w:t>
            </w:r>
            <w:r>
              <w:rPr>
                <w:rFonts w:ascii="仿宋_GB2312" w:hAnsi="仿宋_GB2312" w:cs="仿宋_GB2312" w:eastAsia="仿宋_GB2312"/>
                <w:sz w:val="24"/>
              </w:rPr>
              <w:t>，</w:t>
            </w:r>
            <w:r>
              <w:rPr>
                <w:rFonts w:ascii="仿宋_GB2312" w:hAnsi="仿宋_GB2312" w:cs="仿宋_GB2312" w:eastAsia="仿宋_GB2312"/>
                <w:sz w:val="24"/>
              </w:rPr>
              <w:t>其他商品应符合国家或行业有关标准</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四、</w:t>
            </w:r>
            <w:r>
              <w:rPr>
                <w:rFonts w:ascii="仿宋_GB2312" w:hAnsi="仿宋_GB2312" w:cs="仿宋_GB2312" w:eastAsia="仿宋_GB2312"/>
                <w:sz w:val="24"/>
                <w:b/>
              </w:rPr>
              <w:t>供货价格及报价要求</w:t>
            </w:r>
          </w:p>
          <w:p>
            <w:pPr>
              <w:pStyle w:val="null3"/>
              <w:jc w:val="both"/>
            </w:pPr>
            <w:r>
              <w:rPr>
                <w:rFonts w:ascii="仿宋_GB2312" w:hAnsi="仿宋_GB2312" w:cs="仿宋_GB2312" w:eastAsia="仿宋_GB2312"/>
              </w:rPr>
              <w:t>1</w:t>
            </w:r>
            <w:r>
              <w:rPr>
                <w:rFonts w:ascii="仿宋_GB2312" w:hAnsi="仿宋_GB2312" w:cs="仿宋_GB2312" w:eastAsia="仿宋_GB2312"/>
                <w:sz w:val="24"/>
              </w:rPr>
              <w:t>、本项目采用下浮率方式进行报价，</w:t>
            </w:r>
            <w:r>
              <w:rPr>
                <w:rFonts w:ascii="仿宋_GB2312" w:hAnsi="仿宋_GB2312" w:cs="仿宋_GB2312" w:eastAsia="仿宋_GB2312"/>
                <w:sz w:val="24"/>
              </w:rPr>
              <w:t>供应商</w:t>
            </w:r>
            <w:r>
              <w:rPr>
                <w:rFonts w:ascii="仿宋_GB2312" w:hAnsi="仿宋_GB2312" w:cs="仿宋_GB2312" w:eastAsia="仿宋_GB2312"/>
                <w:sz w:val="24"/>
              </w:rPr>
              <w:t>应考虑经济增长物价上涨及自身成本进行报价。下浮率定义：以最新食材市场价单价结合</w:t>
            </w:r>
            <w:r>
              <w:rPr>
                <w:rFonts w:ascii="仿宋_GB2312" w:hAnsi="仿宋_GB2312" w:cs="仿宋_GB2312" w:eastAsia="仿宋_GB2312"/>
                <w:sz w:val="24"/>
              </w:rPr>
              <w:t>供应商</w:t>
            </w:r>
            <w:r>
              <w:rPr>
                <w:rFonts w:ascii="仿宋_GB2312" w:hAnsi="仿宋_GB2312" w:cs="仿宋_GB2312" w:eastAsia="仿宋_GB2312"/>
                <w:sz w:val="24"/>
              </w:rPr>
              <w:t>对物价水平的预期，综合考虑本次采购所有物品食材的物价变动而作出的报价，而</w:t>
            </w:r>
            <w:r>
              <w:rPr>
                <w:rFonts w:ascii="仿宋_GB2312" w:hAnsi="仿宋_GB2312" w:cs="仿宋_GB2312" w:eastAsia="仿宋_GB2312"/>
                <w:sz w:val="24"/>
              </w:rPr>
              <w:t>成交人</w:t>
            </w:r>
            <w:r>
              <w:rPr>
                <w:rFonts w:ascii="仿宋_GB2312" w:hAnsi="仿宋_GB2312" w:cs="仿宋_GB2312" w:eastAsia="仿宋_GB2312"/>
                <w:sz w:val="24"/>
              </w:rPr>
              <w:t>所报的下浮率将作为采购人在采购期间购买货物的款项计算依据。例如：采购人需要采购大米</w:t>
            </w:r>
            <w:r>
              <w:rPr>
                <w:rFonts w:ascii="仿宋_GB2312" w:hAnsi="仿宋_GB2312" w:cs="仿宋_GB2312" w:eastAsia="仿宋_GB2312"/>
                <w:sz w:val="24"/>
              </w:rPr>
              <w:t>500斤，根据最新市场价（或物价局定价）的价格，以3.7元/斤为例，若中标下浮率为5%，需要付给</w:t>
            </w:r>
            <w:r>
              <w:rPr>
                <w:rFonts w:ascii="仿宋_GB2312" w:hAnsi="仿宋_GB2312" w:cs="仿宋_GB2312" w:eastAsia="仿宋_GB2312"/>
                <w:sz w:val="24"/>
              </w:rPr>
              <w:t>成交人</w:t>
            </w:r>
            <w:r>
              <w:rPr>
                <w:rFonts w:ascii="仿宋_GB2312" w:hAnsi="仿宋_GB2312" w:cs="仿宋_GB2312" w:eastAsia="仿宋_GB2312"/>
                <w:sz w:val="24"/>
              </w:rPr>
              <w:t>的款项计算如下：</w:t>
            </w:r>
            <w:r>
              <w:rPr>
                <w:rFonts w:ascii="仿宋_GB2312" w:hAnsi="仿宋_GB2312" w:cs="仿宋_GB2312" w:eastAsia="仿宋_GB2312"/>
                <w:sz w:val="24"/>
              </w:rPr>
              <w:t>500斤*3.7元/斤*（100%-5%）=1757.5元。</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供应商</w:t>
            </w:r>
            <w:r>
              <w:rPr>
                <w:rFonts w:ascii="仿宋_GB2312" w:hAnsi="仿宋_GB2312" w:cs="仿宋_GB2312" w:eastAsia="仿宋_GB2312"/>
                <w:sz w:val="24"/>
              </w:rPr>
              <w:t>所报的食材下浮率价格，均包含货物的购置费、包装费、运输费、人工费、保险费、各种税费、验收费、售后服务费及合同实施过程中的应预见和不可预见费用等完成合同规定责任和义务、达到合同目的的一切费用，</w:t>
            </w:r>
            <w:r>
              <w:rPr>
                <w:rFonts w:ascii="仿宋_GB2312" w:hAnsi="仿宋_GB2312" w:cs="仿宋_GB2312" w:eastAsia="仿宋_GB2312"/>
                <w:sz w:val="24"/>
              </w:rPr>
              <w:t>成交人</w:t>
            </w:r>
            <w:r>
              <w:rPr>
                <w:rFonts w:ascii="仿宋_GB2312" w:hAnsi="仿宋_GB2312" w:cs="仿宋_GB2312" w:eastAsia="仿宋_GB2312"/>
                <w:sz w:val="24"/>
              </w:rPr>
              <w:t>不得因为开发票等手续再向采购人申请款项。</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成交人</w:t>
            </w:r>
            <w:r>
              <w:rPr>
                <w:rFonts w:ascii="仿宋_GB2312" w:hAnsi="仿宋_GB2312" w:cs="仿宋_GB2312" w:eastAsia="仿宋_GB2312"/>
                <w:sz w:val="24"/>
              </w:rPr>
              <w:t>供货价需按照以双方签订项目合同所约定的市场价格下浮比例为定价标准，所有供货菜品以西安市农业农村局网站（</w:t>
            </w:r>
            <w:r>
              <w:rPr>
                <w:rFonts w:ascii="仿宋_GB2312" w:hAnsi="仿宋_GB2312" w:cs="仿宋_GB2312" w:eastAsia="仿宋_GB2312"/>
                <w:sz w:val="24"/>
              </w:rPr>
              <w:t>http://nyncj.xa.gov.cn/nyfw/jgjc/jgxq/1.html</w:t>
            </w:r>
            <w:r>
              <w:rPr>
                <w:rFonts w:ascii="仿宋_GB2312" w:hAnsi="仿宋_GB2312" w:cs="仿宋_GB2312" w:eastAsia="仿宋_GB2312"/>
                <w:sz w:val="24"/>
              </w:rPr>
              <w:t>）西北工业大学后勤集团官网（</w:t>
            </w:r>
            <w:r>
              <w:rPr>
                <w:rFonts w:ascii="仿宋_GB2312" w:hAnsi="仿宋_GB2312" w:cs="仿宋_GB2312" w:eastAsia="仿宋_GB2312"/>
                <w:sz w:val="24"/>
              </w:rPr>
              <w:t>https://houqin.nwpu.edu.cn/info/1004/20300.htm</w:t>
            </w:r>
            <w:r>
              <w:rPr>
                <w:rFonts w:ascii="仿宋_GB2312" w:hAnsi="仿宋_GB2312" w:cs="仿宋_GB2312" w:eastAsia="仿宋_GB2312"/>
                <w:sz w:val="24"/>
              </w:rPr>
              <w:t>）公布的同类商品的平均价格为基准价。以此基准价和报价确定的折扣来确定结算价格。即某商品的结算价格</w:t>
            </w:r>
            <w:r>
              <w:rPr>
                <w:rFonts w:ascii="仿宋_GB2312" w:hAnsi="仿宋_GB2312" w:cs="仿宋_GB2312" w:eastAsia="仿宋_GB2312"/>
                <w:sz w:val="24"/>
              </w:rPr>
              <w:t>=基准价×（1-成交下浮率），若</w:t>
            </w:r>
            <w:r>
              <w:rPr>
                <w:rFonts w:ascii="仿宋_GB2312" w:hAnsi="仿宋_GB2312" w:cs="仿宋_GB2312" w:eastAsia="仿宋_GB2312"/>
                <w:sz w:val="24"/>
              </w:rPr>
              <w:t>上述</w:t>
            </w:r>
            <w:r>
              <w:rPr>
                <w:rFonts w:ascii="仿宋_GB2312" w:hAnsi="仿宋_GB2312" w:cs="仿宋_GB2312" w:eastAsia="仿宋_GB2312"/>
                <w:sz w:val="24"/>
              </w:rPr>
              <w:t>网页中无价格公示的商品，以采购方所指定大型超市（如华润万家超市、永辉超市等）价格为标准（不少于</w:t>
            </w:r>
            <w:r>
              <w:rPr>
                <w:rFonts w:ascii="仿宋_GB2312" w:hAnsi="仿宋_GB2312" w:cs="仿宋_GB2312" w:eastAsia="仿宋_GB2312"/>
                <w:sz w:val="24"/>
              </w:rPr>
              <w:t>3家超市同一日期、质量、品相、规格、包装、品名等商品的平均价格）。超市没有所需商品时，则可选择不少于3种其他平台进行商品询价，例如农贸市场、其他类型超市等确定。（由采购方协商确定，供应商不得提出异议）。</w:t>
            </w:r>
          </w:p>
          <w:p>
            <w:pPr>
              <w:pStyle w:val="null3"/>
              <w:jc w:val="both"/>
            </w:pPr>
            <w:r>
              <w:rPr>
                <w:rFonts w:ascii="仿宋_GB2312" w:hAnsi="仿宋_GB2312" w:cs="仿宋_GB2312" w:eastAsia="仿宋_GB2312"/>
                <w:sz w:val="24"/>
              </w:rPr>
              <w:t>4、商品供货单价</w:t>
            </w:r>
            <w:r>
              <w:rPr>
                <w:rFonts w:ascii="仿宋_GB2312" w:hAnsi="仿宋_GB2312" w:cs="仿宋_GB2312" w:eastAsia="仿宋_GB2312"/>
                <w:sz w:val="24"/>
              </w:rPr>
              <w:t>=市场价格×（1—中标下浮率）</w:t>
            </w:r>
          </w:p>
          <w:p>
            <w:pPr>
              <w:pStyle w:val="null3"/>
              <w:jc w:val="both"/>
            </w:pPr>
            <w:r>
              <w:rPr>
                <w:rFonts w:ascii="仿宋_GB2312" w:hAnsi="仿宋_GB2312" w:cs="仿宋_GB2312" w:eastAsia="仿宋_GB2312"/>
                <w:sz w:val="24"/>
              </w:rPr>
              <w:t>5、市场价格</w:t>
            </w:r>
            <w:r>
              <w:rPr>
                <w:rFonts w:ascii="仿宋_GB2312" w:hAnsi="仿宋_GB2312" w:cs="仿宋_GB2312" w:eastAsia="仿宋_GB2312"/>
                <w:sz w:val="24"/>
              </w:rPr>
              <w:t>=（超市1价格+超市2价格+…+超市n价格）÷n</w:t>
            </w:r>
          </w:p>
          <w:p>
            <w:pPr>
              <w:pStyle w:val="null3"/>
              <w:jc w:val="both"/>
            </w:pPr>
            <w:r>
              <w:rPr>
                <w:rFonts w:ascii="仿宋_GB2312" w:hAnsi="仿宋_GB2312" w:cs="仿宋_GB2312" w:eastAsia="仿宋_GB2312"/>
                <w:sz w:val="24"/>
              </w:rPr>
              <w:t>6、商品价格浮动应符合市场规律，原则上每</w:t>
            </w:r>
            <w:r>
              <w:rPr>
                <w:rFonts w:ascii="仿宋_GB2312" w:hAnsi="仿宋_GB2312" w:cs="仿宋_GB2312" w:eastAsia="仿宋_GB2312"/>
                <w:sz w:val="24"/>
              </w:rPr>
              <w:t>月</w:t>
            </w:r>
            <w:r>
              <w:rPr>
                <w:rFonts w:ascii="仿宋_GB2312" w:hAnsi="仿宋_GB2312" w:cs="仿宋_GB2312" w:eastAsia="仿宋_GB2312"/>
                <w:sz w:val="24"/>
              </w:rPr>
              <w:t>调整一次价格，价格表经采购人确认后方可开始执行，若经采购人抽查，</w:t>
            </w:r>
            <w:r>
              <w:rPr>
                <w:rFonts w:ascii="仿宋_GB2312" w:hAnsi="仿宋_GB2312" w:cs="仿宋_GB2312" w:eastAsia="仿宋_GB2312"/>
                <w:sz w:val="24"/>
              </w:rPr>
              <w:t>成交人</w:t>
            </w:r>
            <w:r>
              <w:rPr>
                <w:rFonts w:ascii="仿宋_GB2312" w:hAnsi="仿宋_GB2312" w:cs="仿宋_GB2312" w:eastAsia="仿宋_GB2312"/>
                <w:sz w:val="24"/>
              </w:rPr>
              <w:t>报送的产品的供应价中的基准价高于大型超市平均价格的，</w:t>
            </w:r>
            <w:r>
              <w:rPr>
                <w:rFonts w:ascii="仿宋_GB2312" w:hAnsi="仿宋_GB2312" w:cs="仿宋_GB2312" w:eastAsia="仿宋_GB2312"/>
                <w:sz w:val="24"/>
              </w:rPr>
              <w:t>成交人</w:t>
            </w:r>
            <w:r>
              <w:rPr>
                <w:rFonts w:ascii="仿宋_GB2312" w:hAnsi="仿宋_GB2312" w:cs="仿宋_GB2312" w:eastAsia="仿宋_GB2312"/>
                <w:sz w:val="24"/>
              </w:rPr>
              <w:t>需根据大型超市平均价做出相应调整，以调整后的价格作为基准价再进行下浮。</w:t>
            </w:r>
          </w:p>
          <w:p>
            <w:pPr>
              <w:pStyle w:val="null3"/>
              <w:jc w:val="both"/>
            </w:pPr>
            <w:r>
              <w:rPr>
                <w:rFonts w:ascii="仿宋_GB2312" w:hAnsi="仿宋_GB2312" w:cs="仿宋_GB2312" w:eastAsia="仿宋_GB2312"/>
                <w:sz w:val="24"/>
              </w:rPr>
              <w:t>7、如生产商或批发商统一调整价格或新增食材，</w:t>
            </w:r>
            <w:r>
              <w:rPr>
                <w:rFonts w:ascii="仿宋_GB2312" w:hAnsi="仿宋_GB2312" w:cs="仿宋_GB2312" w:eastAsia="仿宋_GB2312"/>
                <w:sz w:val="24"/>
              </w:rPr>
              <w:t>供应商</w:t>
            </w:r>
            <w:r>
              <w:rPr>
                <w:rFonts w:ascii="仿宋_GB2312" w:hAnsi="仿宋_GB2312" w:cs="仿宋_GB2312" w:eastAsia="仿宋_GB2312"/>
                <w:sz w:val="24"/>
              </w:rPr>
              <w:t>须及时书面通知采购人并附相关资料。价格下调时，应给予采购人相同的价格下调幅度；价格上升时，须提供生产商或批发商调价通知书等书面证明材料原件，经采购人审核后执行新的价格。</w:t>
            </w:r>
          </w:p>
          <w:p>
            <w:pPr>
              <w:pStyle w:val="null3"/>
              <w:jc w:val="both"/>
            </w:pPr>
            <w:r>
              <w:rPr>
                <w:rFonts w:ascii="仿宋_GB2312" w:hAnsi="仿宋_GB2312" w:cs="仿宋_GB2312" w:eastAsia="仿宋_GB2312"/>
                <w:sz w:val="24"/>
              </w:rPr>
              <w:t>8、采购人有权随时抽查供货商的供货食材入货台账或进行市场调查，发现供货商虚报、隐瞒供货食材市场价或存在欺骗行为，采购人有权取消其中标资格，终止合同。</w:t>
            </w:r>
          </w:p>
          <w:p>
            <w:pPr>
              <w:pStyle w:val="null3"/>
            </w:pPr>
            <w:r>
              <w:rPr>
                <w:rFonts w:ascii="仿宋_GB2312" w:hAnsi="仿宋_GB2312" w:cs="仿宋_GB2312" w:eastAsia="仿宋_GB2312"/>
                <w:sz w:val="24"/>
              </w:rPr>
              <w:t>9、最终供货食材及数量以采购人提前通知的数量为准。采购人有权对供货清单作适当修改调整或对食材数量作适量增加或减少。</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供应商应按照采购需求委派完成本项目服务所必须的人员团队。</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供应商应按照采购需求委派完成本项目服务所必须的人员团队。</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乙方负责运输至甲方指定地点，货品的所有权自甲方验收合格后转移，验收合格前的一切风险及费用均由乙方承担。</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合同一年一签，根据第一年服务质量由甲方决定是否可以续签，续签最多两次。</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以甲方确定的收货地点为准。</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先供货后结算，按月结算：合同签订后，供应商先行垫资，待所有货物到达指定地点，并由使用单位验收合格后，供应商需开具符合国家税务以及学校财务制度要求的发票。当月供货完毕后，采购方在之后的一个月内完成该批货款支付，有特殊原因延期时，应当及时向供货方作出说明，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1）供应商需要在线提交所有通过电子化交易平台实施的政府采购项目的响应文件，同时，线下提交纸质响应文件正本壹份、副本壹份。若电子响应文件与纸质响应文件不一致的，以电子响应文件为准。（2）响应文件，正、副本分别各自装订成册密封。在封口处加盖供应商公章。（3）线下响应文件递交截止时间与线上开评标时间一致。（4）纸质响应文件可邮寄递交，应于递交响应文件截止时间前邮寄到西安市高新区丈八一路1号汇鑫中心D座2206室（陕西德勤招标有限公司）。 2、磋商保证金注意事项：（1）磋商保证金须从供应商户名支付，如从个人户名或非供应商户名支付，将被拒绝，视为自动放弃投标权利；以保函形式交纳磋商保证金的，供应商应在响应截止时间前将保函扫描成清晰的PDF文件，发送至邮箱deqinjxm@126.com（邮件命名：项目编号）；供应商应在响应文件中附保函扫描件。保函必须由具有开具投标保函资格的单位开具；若成交人违约，开具保函单位承担连带责任；（2）磋商保证金的提交金额、时间不满足磋商文件要求的，响应无效；（3）未按指定账户提交的，我公司将退回，供应商须在响应文件递交截止时间前按照指定账户再次提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主体资格证明文件</w:t>
            </w:r>
          </w:p>
        </w:tc>
        <w:tc>
          <w:tcPr>
            <w:tcW w:type="dxa" w:w="3322"/>
          </w:tcPr>
          <w:p>
            <w:pPr>
              <w:pStyle w:val="null3"/>
            </w:pPr>
            <w:r>
              <w:rPr>
                <w:rFonts w:ascii="仿宋_GB2312" w:hAnsi="仿宋_GB2312" w:cs="仿宋_GB2312" w:eastAsia="仿宋_GB2312"/>
              </w:rPr>
              <w:t>提供有效存续的企业营业执照（副本）。</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报告须具有注册会计师行业统一监管平台赋予的验证码(成立时间至提交响应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w:t>
            </w:r>
          </w:p>
        </w:tc>
        <w:tc>
          <w:tcPr>
            <w:tcW w:type="dxa" w:w="1661"/>
          </w:tcPr>
          <w:p>
            <w:pPr>
              <w:pStyle w:val="null3"/>
            </w:pPr>
            <w:r>
              <w:rPr>
                <w:rFonts w:ascii="仿宋_GB2312" w:hAnsi="仿宋_GB2312" w:cs="仿宋_GB2312" w:eastAsia="仿宋_GB2312"/>
              </w:rPr>
              <w:t>书面声明</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近三年无重大违法、违纪书面声明</w:t>
            </w:r>
          </w:p>
        </w:tc>
        <w:tc>
          <w:tcPr>
            <w:tcW w:type="dxa" w:w="3322"/>
          </w:tcPr>
          <w:p>
            <w:pPr>
              <w:pStyle w:val="null3"/>
            </w:pPr>
            <w:r>
              <w:rPr>
                <w:rFonts w:ascii="仿宋_GB2312" w:hAnsi="仿宋_GB2312" w:cs="仿宋_GB2312" w:eastAsia="仿宋_GB2312"/>
              </w:rPr>
              <w:t>提供《近三年无重大违法、违纪书面声明》。</w:t>
            </w:r>
          </w:p>
        </w:tc>
        <w:tc>
          <w:tcPr>
            <w:tcW w:type="dxa" w:w="1661"/>
          </w:tcPr>
          <w:p>
            <w:pPr>
              <w:pStyle w:val="null3"/>
            </w:pPr>
            <w:r>
              <w:rPr>
                <w:rFonts w:ascii="仿宋_GB2312" w:hAnsi="仿宋_GB2312" w:cs="仿宋_GB2312" w:eastAsia="仿宋_GB2312"/>
              </w:rPr>
              <w:t>近三年无重大违法、违纪书面声明</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控股管理关系</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本人身份证复印件(附在响应文件中)；法定代表人授权他人参加磋商的，须提供法定代表人授权委托书，同时需提供被授权人开标前3个月内任意1个月的社保缴纳证明（依法不需要缴纳社保的被授权人应提供相关证明）。响应文件中凡是需要法定代表人盖章之处，非法人单位的负责人均参照执行。 法人的分支机构参与磋商时，除提供《法定代表人授权委托书》外，还须同时提供法人给分支机构出具的授权书。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法定代表人授权书</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本项目不接受联合体磋商，不允许分包</w:t>
            </w:r>
          </w:p>
        </w:tc>
        <w:tc>
          <w:tcPr>
            <w:tcW w:type="dxa" w:w="3322"/>
          </w:tcPr>
          <w:p>
            <w:pPr>
              <w:pStyle w:val="null3"/>
            </w:pPr>
            <w:r>
              <w:rPr>
                <w:rFonts w:ascii="仿宋_GB2312" w:hAnsi="仿宋_GB2312" w:cs="仿宋_GB2312" w:eastAsia="仿宋_GB2312"/>
              </w:rPr>
              <w:t>供应商应提供《非联合体不分包磋商声明》，视为独立磋商，不分包。</w:t>
            </w:r>
          </w:p>
        </w:tc>
        <w:tc>
          <w:tcPr>
            <w:tcW w:type="dxa" w:w="1661"/>
          </w:tcPr>
          <w:p>
            <w:pPr>
              <w:pStyle w:val="null3"/>
            </w:pPr>
            <w:r>
              <w:rPr>
                <w:rFonts w:ascii="仿宋_GB2312" w:hAnsi="仿宋_GB2312" w:cs="仿宋_GB2312" w:eastAsia="仿宋_GB2312"/>
              </w:rPr>
              <w:t>非联合体不分包磋商声明</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特定资格要求</w:t>
            </w:r>
          </w:p>
        </w:tc>
        <w:tc>
          <w:tcPr>
            <w:tcW w:type="dxa" w:w="3322"/>
          </w:tcPr>
          <w:p>
            <w:pPr>
              <w:pStyle w:val="null3"/>
            </w:pPr>
            <w:r>
              <w:rPr>
                <w:rFonts w:ascii="仿宋_GB2312" w:hAnsi="仿宋_GB2312" w:cs="仿宋_GB2312" w:eastAsia="仿宋_GB2312"/>
              </w:rPr>
              <w:t>供应商须提供《食品经营许可证》，供应商所投肉类（或禽类）具备动物卫生监督机构出具的《动物检疫合格证明》。（提供2026年的检疫合格证明复印件加盖供应商单位公章）。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按磋商文件要求签字、盖章（评分标准中要求提供的证明材料除外）。</w:t>
            </w:r>
          </w:p>
        </w:tc>
        <w:tc>
          <w:tcPr>
            <w:tcW w:type="dxa" w:w="1661"/>
          </w:tcPr>
          <w:p>
            <w:pPr>
              <w:pStyle w:val="null3"/>
            </w:pPr>
            <w:r>
              <w:rPr>
                <w:rFonts w:ascii="仿宋_GB2312" w:hAnsi="仿宋_GB2312" w:cs="仿宋_GB2312" w:eastAsia="仿宋_GB2312"/>
              </w:rPr>
              <w:t>中小企业声明函 商务应答表 供应商应提交的相关资格证明材料 保证金汇款声明函、保函 报价表 控股管理关系 法定代表人授权书 响应文件封面 非联合体不分包磋商声明 近三年无重大违法、违纪书面声明 残疾人福利性单位声明函 标的清单 响应函 书面声明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报价表</w:t>
            </w:r>
          </w:p>
        </w:tc>
        <w:tc>
          <w:tcPr>
            <w:tcW w:type="dxa" w:w="3322"/>
          </w:tcPr>
          <w:p>
            <w:pPr>
              <w:pStyle w:val="null3"/>
            </w:pPr>
            <w:r>
              <w:rPr>
                <w:rFonts w:ascii="仿宋_GB2312" w:hAnsi="仿宋_GB2312" w:cs="仿宋_GB2312" w:eastAsia="仿宋_GB2312"/>
              </w:rPr>
              <w:t>（1）响应报价符合唯一性要求： （2）报价表填写符合要求； （3）计量单位、报价货币均符合磋商文件要求。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完全理解接受磋商文件商务条款。</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保证金交纳符合磋商文件要求。</w:t>
            </w:r>
          </w:p>
        </w:tc>
        <w:tc>
          <w:tcPr>
            <w:tcW w:type="dxa" w:w="1661"/>
          </w:tcPr>
          <w:p>
            <w:pPr>
              <w:pStyle w:val="null3"/>
            </w:pPr>
            <w:r>
              <w:rPr>
                <w:rFonts w:ascii="仿宋_GB2312" w:hAnsi="仿宋_GB2312" w:cs="仿宋_GB2312" w:eastAsia="仿宋_GB2312"/>
              </w:rPr>
              <w:t>保证金汇款声明函、保函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没有不符合磋商文件规定的被视为无效响应的其他条款。</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保证金汇款声明函、保函 报价表 控股管理关系 法定代表人授权书 响应文件封面 非联合体不分包磋商声明 近三年无重大违法、违纪书面声明 残疾人福利性单位声明函 服务方案 标的清单 响应函 书面声明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评审得分相同的，按照最后报价（下浮率）由高到低的顺序推荐。评审得分且最后报价相同的，按照技术指标优劣顺序推荐。评审得分且最后报价且技术指标得分均相同的，成交候选供应商并列。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供应商结合各项工作实际情况，针对项目实施主要内容、工作要求、质量标准制订切实可行的整体配送服务方案。 方案内容详细全面、思路清晰、科学合理、切实可行，完全满足采购人需求得10分； 方案基本全面、思路较清晰、完全满足采购人需求得6分； 项目实施方案基本合理、有一定的可行性得3分， 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产品供应渠道正常且质量有保证，符合国家质量标准和食品卫生安全要求，确保食品安全，并提供相关证明材料（包括但不限于食材的生产加工企业、检验检疫单位、物流配送企业、包装销售企业的完整货源渠道证明） 供应商提供各种货源证明材料品类齐全、证明材料完整详尽得10分； 供应商提供各种货源证明材料品类基本齐全、证明材料基本完整得6分； 供应商提供各种货源证明材料品类、证明材料严重缺失得3分; 未响应不计分。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根据投入本项目人员、岗位职责，人员具有从业工作经验，对人员的年龄、文化水平、劳动合同等有详细的描述、体检证明等。 人员构成科学合理且描述内容详细全面、体检证明齐全得10分； 人员构成较合理、描述内容基本全面、体检证明较齐全得6分； 人员构成数量基本合理、体检证明不齐全得3分。 未响应不计分。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针对本项目提供市场供求变化、天气、车辆故障等突发事件及配送或使用过程出现问题的补救措施应急预案及措施 应急措施和解决方案合理、切实可行、能解决采购人遇到突发情况时的需求得10分； 应急措施和解决方案基本合理、基本可行、能基本解决采购人遇到突发情况时的需求得6分； 应急措施和解决方案不合理、可行性较差、不能解决采购人遇到突发情况时的需求得3分。 未响应不计分。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食品安全管理体系</w:t>
            </w:r>
          </w:p>
        </w:tc>
        <w:tc>
          <w:tcPr>
            <w:tcW w:type="dxa" w:w="2492"/>
          </w:tcPr>
          <w:p>
            <w:pPr>
              <w:pStyle w:val="null3"/>
            </w:pPr>
            <w:r>
              <w:rPr>
                <w:rFonts w:ascii="仿宋_GB2312" w:hAnsi="仿宋_GB2312" w:cs="仿宋_GB2312" w:eastAsia="仿宋_GB2312"/>
              </w:rPr>
              <w:t>1.食品安全管理体系认证 具有有效期内的ISO 22000食品安全管理体系认证或同等级别食品安全认证的，得3分 2.食品安全责任保险具有有效期内食品安全责任保险，保额≥100万元的，得2分。 未响应不计分。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配送车辆及设备</w:t>
            </w:r>
          </w:p>
        </w:tc>
        <w:tc>
          <w:tcPr>
            <w:tcW w:type="dxa" w:w="2492"/>
          </w:tcPr>
          <w:p>
            <w:pPr>
              <w:pStyle w:val="null3"/>
            </w:pPr>
            <w:r>
              <w:rPr>
                <w:rFonts w:ascii="仿宋_GB2312" w:hAnsi="仿宋_GB2312" w:cs="仿宋_GB2312" w:eastAsia="仿宋_GB2312"/>
              </w:rPr>
              <w:t>1.自有封闭式厢式货车每提供1辆得2分，最高得6分。 2.自有冷藏/保鲜车辆提供1辆得2分，最高得4分。 未响应不计分。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2023年1月1日以来（以合同签订时间为准），供应商每提供1个食材配送类项目业绩，得3分，最高得15分。 证明材料要求：提供合同复印件（至少包含合同首页、标的页、签字盖章页）。</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注：按优惠率/下浮率报价，投标（响应）报价应按（1-投标（响应）报价）来计算。 （2）投标（响应）报价低于通过符合性审查且报价次低供应商投标（响应）报价65%的，即投标（响应）报价&lt;通过符合性审查且报价次低供应商投标（响应）报价×65%。 注：按优惠率/下浮率报价，投标（响应）报价应按（1-投标（响应）报价）来计算。 （3）投标（响应）报价低于最高限价65%的，即投标（响应）报价&lt;最高限价×65%。 注：按优惠率/下浮率报价，投标（响应）报价应按（1-投标（响应）报价）来计算。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价格分统一采用低价优先法计算，即满足磋商文件要求且折扣率最低的磋商报价为评标基准价（折扣率即1-下浮率），其价格分为满分。其他供应商的价格分统一按照下列公式计算： 报价得分=(评标基准价／磋商报价)×价格分值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详见附件：法定代表人授权书</w:t>
      </w:r>
    </w:p>
    <w:p>
      <w:pPr>
        <w:pStyle w:val="null3"/>
        <w:ind w:firstLine="960"/>
      </w:pPr>
      <w:r>
        <w:rPr>
          <w:rFonts w:ascii="仿宋_GB2312" w:hAnsi="仿宋_GB2312" w:cs="仿宋_GB2312" w:eastAsia="仿宋_GB2312"/>
        </w:rPr>
        <w:t>详见附件：非联合体不分包磋商声明</w:t>
      </w:r>
    </w:p>
    <w:p>
      <w:pPr>
        <w:pStyle w:val="null3"/>
        <w:ind w:firstLine="960"/>
      </w:pPr>
      <w:r>
        <w:rPr>
          <w:rFonts w:ascii="仿宋_GB2312" w:hAnsi="仿宋_GB2312" w:cs="仿宋_GB2312" w:eastAsia="仿宋_GB2312"/>
        </w:rPr>
        <w:t>详见附件：近三年无重大违法、违纪书面声明</w:t>
      </w:r>
    </w:p>
    <w:p>
      <w:pPr>
        <w:pStyle w:val="null3"/>
        <w:ind w:firstLine="960"/>
      </w:pPr>
      <w:r>
        <w:rPr>
          <w:rFonts w:ascii="仿宋_GB2312" w:hAnsi="仿宋_GB2312" w:cs="仿宋_GB2312" w:eastAsia="仿宋_GB2312"/>
        </w:rPr>
        <w:t>详见附件：控股管理关系</w:t>
      </w:r>
    </w:p>
    <w:p>
      <w:pPr>
        <w:pStyle w:val="null3"/>
        <w:ind w:firstLine="960"/>
      </w:pPr>
      <w:r>
        <w:rPr>
          <w:rFonts w:ascii="仿宋_GB2312" w:hAnsi="仿宋_GB2312" w:cs="仿宋_GB2312" w:eastAsia="仿宋_GB2312"/>
        </w:rPr>
        <w:t>详见附件：书面声明</w:t>
      </w:r>
    </w:p>
    <w:p>
      <w:pPr>
        <w:pStyle w:val="null3"/>
        <w:ind w:firstLine="960"/>
      </w:pPr>
      <w:r>
        <w:rPr>
          <w:rFonts w:ascii="仿宋_GB2312" w:hAnsi="仿宋_GB2312" w:cs="仿宋_GB2312" w:eastAsia="仿宋_GB2312"/>
        </w:rPr>
        <w:t>详见附件：保证金汇款声明函、保函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