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2FB87C">
      <w:pPr>
        <w:pStyle w:val="4"/>
        <w:outlineLvl w:val="0"/>
      </w:pPr>
      <w:r>
        <w:rPr>
          <w:rFonts w:ascii="仿宋_GB2312" w:hAnsi="仿宋_GB2312" w:eastAsia="仿宋_GB2312" w:cs="仿宋_GB2312"/>
          <w:b/>
          <w:sz w:val="48"/>
        </w:rPr>
        <w:t>政府采购项目采购需求</w:t>
      </w:r>
    </w:p>
    <w:p w14:paraId="2EA80E92">
      <w:pPr>
        <w:pStyle w:val="4"/>
        <w:spacing w:before="3000"/>
        <w:outlineLvl w:val="2"/>
      </w:pPr>
      <w:r>
        <w:rPr>
          <w:rFonts w:ascii="仿宋_GB2312" w:hAnsi="仿宋_GB2312" w:eastAsia="仿宋_GB2312" w:cs="仿宋_GB2312"/>
          <w:b/>
          <w:sz w:val="28"/>
        </w:rPr>
        <w:t>采购单位：</w:t>
      </w:r>
    </w:p>
    <w:p w14:paraId="682793C2">
      <w:pPr>
        <w:pStyle w:val="4"/>
        <w:outlineLvl w:val="2"/>
      </w:pPr>
      <w:r>
        <w:rPr>
          <w:rFonts w:ascii="仿宋_GB2312" w:hAnsi="仿宋_GB2312" w:eastAsia="仿宋_GB2312" w:cs="仿宋_GB2312"/>
          <w:b/>
          <w:sz w:val="28"/>
        </w:rPr>
        <w:t>西安市胡家庙军队离休退休干部休养所</w:t>
      </w:r>
    </w:p>
    <w:p w14:paraId="063A63C5">
      <w:pPr>
        <w:pStyle w:val="4"/>
        <w:jc w:val="right"/>
        <w:outlineLvl w:val="2"/>
      </w:pPr>
      <w:r>
        <w:rPr>
          <w:rFonts w:ascii="仿宋_GB2312" w:hAnsi="仿宋_GB2312" w:eastAsia="仿宋_GB2312" w:cs="仿宋_GB2312"/>
          <w:b/>
          <w:sz w:val="28"/>
        </w:rPr>
        <w:t>所属年度：</w:t>
      </w:r>
    </w:p>
    <w:p w14:paraId="1F3DC5CE">
      <w:pPr>
        <w:pStyle w:val="4"/>
        <w:outlineLvl w:val="2"/>
      </w:pPr>
      <w:r>
        <w:rPr>
          <w:rFonts w:ascii="仿宋_GB2312" w:hAnsi="仿宋_GB2312" w:eastAsia="仿宋_GB2312" w:cs="仿宋_GB2312"/>
          <w:b/>
          <w:sz w:val="28"/>
        </w:rPr>
        <w:t>2026年</w:t>
      </w:r>
    </w:p>
    <w:p w14:paraId="06AB47DB">
      <w:pPr>
        <w:pStyle w:val="4"/>
        <w:jc w:val="right"/>
        <w:outlineLvl w:val="2"/>
      </w:pPr>
      <w:r>
        <w:rPr>
          <w:rFonts w:ascii="仿宋_GB2312" w:hAnsi="仿宋_GB2312" w:eastAsia="仿宋_GB2312" w:cs="仿宋_GB2312"/>
          <w:b/>
          <w:sz w:val="28"/>
        </w:rPr>
        <w:t>编制单位：</w:t>
      </w:r>
    </w:p>
    <w:p w14:paraId="4197C87C">
      <w:pPr>
        <w:pStyle w:val="4"/>
        <w:outlineLvl w:val="2"/>
      </w:pPr>
      <w:r>
        <w:rPr>
          <w:rFonts w:ascii="仿宋_GB2312" w:hAnsi="仿宋_GB2312" w:eastAsia="仿宋_GB2312" w:cs="仿宋_GB2312"/>
          <w:b/>
          <w:sz w:val="28"/>
        </w:rPr>
        <w:t>西安市胡家庙军队离休退休干部休养所</w:t>
      </w:r>
    </w:p>
    <w:p w14:paraId="1C5A3912">
      <w:pPr>
        <w:pStyle w:val="4"/>
        <w:jc w:val="right"/>
        <w:outlineLvl w:val="2"/>
      </w:pPr>
      <w:r>
        <w:rPr>
          <w:rFonts w:ascii="仿宋_GB2312" w:hAnsi="仿宋_GB2312" w:eastAsia="仿宋_GB2312" w:cs="仿宋_GB2312"/>
          <w:b/>
          <w:sz w:val="28"/>
        </w:rPr>
        <w:t>编制时间：</w:t>
      </w:r>
    </w:p>
    <w:p w14:paraId="0F263792">
      <w:pPr>
        <w:pStyle w:val="4"/>
        <w:outlineLvl w:val="2"/>
      </w:pPr>
      <w:r>
        <w:rPr>
          <w:rFonts w:ascii="仿宋_GB2312" w:hAnsi="仿宋_GB2312" w:eastAsia="仿宋_GB2312" w:cs="仿宋_GB2312"/>
          <w:b/>
          <w:sz w:val="28"/>
        </w:rPr>
        <w:t>2026年05月21日</w:t>
      </w:r>
    </w:p>
    <w:p w14:paraId="372DB8BC">
      <w:pPr>
        <w:pStyle w:val="4"/>
        <w:outlineLvl w:val="2"/>
      </w:pPr>
      <w:r>
        <w:rPr>
          <w:rFonts w:ascii="仿宋_GB2312" w:hAnsi="仿宋_GB2312" w:eastAsia="仿宋_GB2312" w:cs="仿宋_GB2312"/>
          <w:b/>
          <w:sz w:val="28"/>
        </w:rPr>
        <w:t>一、项目总体情况</w:t>
      </w:r>
    </w:p>
    <w:p w14:paraId="4BA7D477">
      <w:pPr>
        <w:pStyle w:val="4"/>
      </w:pPr>
      <w:r>
        <w:rPr>
          <w:rFonts w:ascii="仿宋_GB2312" w:hAnsi="仿宋_GB2312" w:eastAsia="仿宋_GB2312" w:cs="仿宋_GB2312"/>
        </w:rPr>
        <w:t xml:space="preserve"> （一）项目名称： 军休服务保障采购项目</w:t>
      </w:r>
    </w:p>
    <w:p w14:paraId="123F4953">
      <w:pPr>
        <w:pStyle w:val="4"/>
      </w:pPr>
      <w:r>
        <w:rPr>
          <w:rFonts w:ascii="仿宋_GB2312" w:hAnsi="仿宋_GB2312" w:eastAsia="仿宋_GB2312" w:cs="仿宋_GB2312"/>
        </w:rPr>
        <w:t xml:space="preserve"> （二）项目所属年度： 2026年</w:t>
      </w:r>
    </w:p>
    <w:p w14:paraId="1FBF0945">
      <w:pPr>
        <w:pStyle w:val="4"/>
      </w:pPr>
      <w:r>
        <w:rPr>
          <w:rFonts w:ascii="仿宋_GB2312" w:hAnsi="仿宋_GB2312" w:eastAsia="仿宋_GB2312" w:cs="仿宋_GB2312"/>
        </w:rPr>
        <w:t xml:space="preserve"> （三）项目所属分类： 服务</w:t>
      </w:r>
    </w:p>
    <w:p w14:paraId="1ACDB8B3">
      <w:pPr>
        <w:pStyle w:val="4"/>
      </w:pPr>
      <w:r>
        <w:rPr>
          <w:rFonts w:ascii="仿宋_GB2312" w:hAnsi="仿宋_GB2312" w:eastAsia="仿宋_GB2312" w:cs="仿宋_GB2312"/>
        </w:rPr>
        <w:t xml:space="preserve"> （四）预算金额（元）：689,500.00元 ，大写（人民币）：陆拾捌万玖仟伍佰元整</w:t>
      </w:r>
    </w:p>
    <w:p w14:paraId="5229CF65">
      <w:pPr>
        <w:pStyle w:val="4"/>
        <w:ind w:firstLine="1200"/>
      </w:pPr>
      <w:r>
        <w:rPr>
          <w:rFonts w:ascii="仿宋_GB2312" w:hAnsi="仿宋_GB2312" w:eastAsia="仿宋_GB2312" w:cs="仿宋_GB2312"/>
        </w:rPr>
        <w:t xml:space="preserve"> （五）项目概况：</w:t>
      </w:r>
    </w:p>
    <w:p w14:paraId="024773F5">
      <w:pPr>
        <w:pStyle w:val="4"/>
        <w:ind w:left="480"/>
      </w:pPr>
      <w:r>
        <w:rPr>
          <w:rFonts w:ascii="仿宋_GB2312" w:hAnsi="仿宋_GB2312" w:eastAsia="仿宋_GB2312" w:cs="仿宋_GB2312"/>
        </w:rPr>
        <w:t>军休服务保障采购项目服务内容包括：1、军休服务车辆保障；2、军休人员服务站点卫生及其它服务保障；3、八一春节走访慰问服务；4、文体活动与精神文化服务；5、应急帮扶与临时专项服务；6、医疗保健与健康康养服务等；7、根据军休机构工作要求提供其它辅助保障，弥补保障力量不足的需求。</w:t>
      </w:r>
    </w:p>
    <w:p w14:paraId="374A7B2D">
      <w:pPr>
        <w:pStyle w:val="4"/>
      </w:pPr>
      <w:r>
        <w:rPr>
          <w:rFonts w:ascii="仿宋_GB2312" w:hAnsi="仿宋_GB2312" w:eastAsia="仿宋_GB2312" w:cs="仿宋_GB2312"/>
        </w:rPr>
        <w:t xml:space="preserve"> （六）本项目是否有为采购项目提供整体设计、规范编制或者项目管理、监理、检测等服务的供应商：否</w:t>
      </w:r>
    </w:p>
    <w:p w14:paraId="7F235C02">
      <w:pPr>
        <w:pStyle w:val="4"/>
        <w:outlineLvl w:val="2"/>
      </w:pPr>
      <w:r>
        <w:rPr>
          <w:rFonts w:ascii="仿宋_GB2312" w:hAnsi="仿宋_GB2312" w:eastAsia="仿宋_GB2312" w:cs="仿宋_GB2312"/>
          <w:b/>
          <w:sz w:val="28"/>
        </w:rPr>
        <w:t>二、项目需求调查情况</w:t>
      </w:r>
    </w:p>
    <w:p w14:paraId="366CFF69">
      <w:pPr>
        <w:pStyle w:val="4"/>
      </w:pPr>
      <w:r>
        <w:rPr>
          <w:rFonts w:ascii="仿宋_GB2312" w:hAnsi="仿宋_GB2312" w:eastAsia="仿宋_GB2312" w:cs="仿宋_GB2312"/>
        </w:rPr>
        <w:t>依据《政府采购需求管理办法》的规定，本项目不需要需求调查，具体情况如下：</w:t>
      </w:r>
    </w:p>
    <w:p w14:paraId="7AA2CEF2">
      <w:pPr>
        <w:pStyle w:val="4"/>
      </w:pPr>
      <w:r>
        <w:rPr>
          <w:rFonts w:ascii="仿宋_GB2312" w:hAnsi="仿宋_GB2312" w:eastAsia="仿宋_GB2312" w:cs="仿宋_GB2312"/>
        </w:rPr>
        <w:t>（一）需求调查方式</w:t>
      </w:r>
    </w:p>
    <w:p w14:paraId="4D15150E">
      <w:pPr>
        <w:pStyle w:val="4"/>
        <w:ind w:firstLine="840"/>
      </w:pPr>
      <w:r>
        <w:rPr>
          <w:rFonts w:ascii="仿宋_GB2312" w:hAnsi="仿宋_GB2312" w:eastAsia="仿宋_GB2312" w:cs="仿宋_GB2312"/>
        </w:rPr>
        <w:t>（二）需求调查对象</w:t>
      </w:r>
    </w:p>
    <w:p w14:paraId="30827801">
      <w:pPr>
        <w:pStyle w:val="4"/>
        <w:ind w:firstLine="840"/>
      </w:pPr>
      <w:r>
        <w:rPr>
          <w:rFonts w:ascii="仿宋_GB2312" w:hAnsi="仿宋_GB2312" w:eastAsia="仿宋_GB2312" w:cs="仿宋_GB2312"/>
        </w:rPr>
        <w:t>（三）需求调查结果</w:t>
      </w:r>
    </w:p>
    <w:p w14:paraId="392A5F9D">
      <w:pPr>
        <w:pStyle w:val="4"/>
        <w:ind w:firstLine="840"/>
      </w:pPr>
      <w:r>
        <w:rPr>
          <w:rFonts w:ascii="仿宋_GB2312" w:hAnsi="仿宋_GB2312" w:eastAsia="仿宋_GB2312" w:cs="仿宋_GB2312"/>
        </w:rPr>
        <w:t>1.相关产业发展情况</w:t>
      </w:r>
    </w:p>
    <w:p w14:paraId="29FA17B4">
      <w:pPr>
        <w:pStyle w:val="4"/>
        <w:ind w:firstLine="840"/>
      </w:pPr>
      <w:r>
        <w:rPr>
          <w:rFonts w:ascii="仿宋_GB2312" w:hAnsi="仿宋_GB2312" w:eastAsia="仿宋_GB2312" w:cs="仿宋_GB2312"/>
        </w:rPr>
        <w:t>2.市场供给情况</w:t>
      </w:r>
    </w:p>
    <w:p w14:paraId="17540689">
      <w:pPr>
        <w:pStyle w:val="4"/>
        <w:ind w:firstLine="840"/>
      </w:pPr>
      <w:r>
        <w:rPr>
          <w:rFonts w:ascii="仿宋_GB2312" w:hAnsi="仿宋_GB2312" w:eastAsia="仿宋_GB2312" w:cs="仿宋_GB2312"/>
        </w:rPr>
        <w:t>3.同类采购项目历史成交信息情况</w:t>
      </w:r>
    </w:p>
    <w:p w14:paraId="35D602C4">
      <w:pPr>
        <w:pStyle w:val="4"/>
        <w:ind w:firstLine="840"/>
      </w:pPr>
      <w:r>
        <w:rPr>
          <w:rFonts w:ascii="仿宋_GB2312" w:hAnsi="仿宋_GB2312" w:eastAsia="仿宋_GB2312" w:cs="仿宋_GB2312"/>
        </w:rPr>
        <w:t>4.可能涉及的运行维护、升级更新、备品备件、耗材等后续采购情况</w:t>
      </w:r>
    </w:p>
    <w:p w14:paraId="2101505D">
      <w:pPr>
        <w:pStyle w:val="4"/>
        <w:ind w:firstLine="840"/>
      </w:pPr>
      <w:r>
        <w:rPr>
          <w:rFonts w:ascii="仿宋_GB2312" w:hAnsi="仿宋_GB2312" w:eastAsia="仿宋_GB2312" w:cs="仿宋_GB2312"/>
        </w:rPr>
        <w:t>5.其他相关情况</w:t>
      </w:r>
    </w:p>
    <w:p w14:paraId="0E54565F">
      <w:pPr>
        <w:pStyle w:val="4"/>
        <w:ind w:firstLine="840"/>
        <w:outlineLvl w:val="2"/>
      </w:pPr>
      <w:r>
        <w:rPr>
          <w:rFonts w:ascii="仿宋_GB2312" w:hAnsi="仿宋_GB2312" w:eastAsia="仿宋_GB2312" w:cs="仿宋_GB2312"/>
          <w:b/>
          <w:sz w:val="28"/>
        </w:rPr>
        <w:t>三、项目采购实施计划</w:t>
      </w:r>
    </w:p>
    <w:p w14:paraId="1AE97EDB">
      <w:pPr>
        <w:pStyle w:val="4"/>
      </w:pPr>
      <w:r>
        <w:rPr>
          <w:rFonts w:ascii="仿宋_GB2312" w:hAnsi="仿宋_GB2312" w:eastAsia="仿宋_GB2312" w:cs="仿宋_GB2312"/>
        </w:rPr>
        <w:t>（一）采购组织形式：部门集中采购</w:t>
      </w:r>
    </w:p>
    <w:p w14:paraId="452B736D">
      <w:pPr>
        <w:pStyle w:val="4"/>
      </w:pPr>
      <w:r>
        <w:rPr>
          <w:rFonts w:ascii="仿宋_GB2312" w:hAnsi="仿宋_GB2312" w:eastAsia="仿宋_GB2312" w:cs="仿宋_GB2312"/>
        </w:rPr>
        <w:t>（二）采购方式：竞争性磋商</w:t>
      </w:r>
    </w:p>
    <w:p w14:paraId="2A5D13FE">
      <w:pPr>
        <w:pStyle w:val="4"/>
      </w:pPr>
      <w:r>
        <w:rPr>
          <w:rFonts w:ascii="仿宋_GB2312" w:hAnsi="仿宋_GB2312" w:eastAsia="仿宋_GB2312" w:cs="仿宋_GB2312"/>
        </w:rPr>
        <w:t>（三）本项目是否单位自行组织采购：否</w:t>
      </w:r>
    </w:p>
    <w:p w14:paraId="4EBF6E1A">
      <w:pPr>
        <w:pStyle w:val="4"/>
      </w:pPr>
      <w:r>
        <w:rPr>
          <w:rFonts w:ascii="仿宋_GB2312" w:hAnsi="仿宋_GB2312" w:eastAsia="仿宋_GB2312" w:cs="仿宋_GB2312"/>
        </w:rPr>
        <w:t>（四）采购包划分：不分包采购</w:t>
      </w:r>
    </w:p>
    <w:p w14:paraId="7F1DB640">
      <w:pPr>
        <w:pStyle w:val="4"/>
      </w:pPr>
      <w:r>
        <w:rPr>
          <w:rFonts w:ascii="仿宋_GB2312" w:hAnsi="仿宋_GB2312" w:eastAsia="仿宋_GB2312" w:cs="仿宋_GB2312"/>
        </w:rPr>
        <w:t>（五）执行政府采购促进中小企业发展的相关政策</w:t>
      </w:r>
    </w:p>
    <w:p w14:paraId="46E75D81">
      <w:pPr>
        <w:pStyle w:val="4"/>
      </w:pPr>
      <w:r>
        <w:rPr>
          <w:rFonts w:ascii="仿宋_GB2312" w:hAnsi="仿宋_GB2312" w:eastAsia="仿宋_GB2312" w:cs="仿宋_GB2312"/>
          <w:color w:val="000000"/>
        </w:rPr>
        <w:t>1.</w:t>
      </w:r>
      <w:r>
        <w:rPr>
          <w:rFonts w:ascii="仿宋_GB2312" w:hAnsi="仿宋_GB2312" w:eastAsia="仿宋_GB2312" w:cs="仿宋_GB2312"/>
        </w:rPr>
        <w:t>专门面向中小企业采购</w:t>
      </w:r>
    </w:p>
    <w:p w14:paraId="75024E90">
      <w:pPr>
        <w:pStyle w:val="4"/>
        <w:ind w:firstLine="840"/>
      </w:pPr>
      <w:r>
        <w:rPr>
          <w:rFonts w:ascii="仿宋_GB2312" w:hAnsi="仿宋_GB2312" w:eastAsia="仿宋_GB2312" w:cs="仿宋_GB2312"/>
          <w:i/>
        </w:rPr>
        <w:t>注：监狱企业和残疾人福利单位视同小微企业。</w:t>
      </w:r>
    </w:p>
    <w:p w14:paraId="07440F55">
      <w:pPr>
        <w:pStyle w:val="4"/>
      </w:pPr>
      <w:r>
        <w:rPr>
          <w:rFonts w:ascii="仿宋_GB2312" w:hAnsi="仿宋_GB2312" w:eastAsia="仿宋_GB2312" w:cs="仿宋_GB2312"/>
        </w:rPr>
        <w:t>（六）是否采购环境标识产品：否</w:t>
      </w:r>
    </w:p>
    <w:p w14:paraId="6E0065FB">
      <w:pPr>
        <w:pStyle w:val="4"/>
      </w:pPr>
      <w:r>
        <w:rPr>
          <w:rFonts w:ascii="仿宋_GB2312" w:hAnsi="仿宋_GB2312" w:eastAsia="仿宋_GB2312" w:cs="仿宋_GB2312"/>
        </w:rPr>
        <w:t>（七）是否采购节能产品：否</w:t>
      </w:r>
    </w:p>
    <w:p w14:paraId="606C7793">
      <w:pPr>
        <w:pStyle w:val="4"/>
      </w:pPr>
      <w:r>
        <w:rPr>
          <w:rFonts w:ascii="仿宋_GB2312" w:hAnsi="仿宋_GB2312" w:eastAsia="仿宋_GB2312" w:cs="仿宋_GB2312"/>
        </w:rPr>
        <w:t>（八）项目的采购标的是否包含进口产品：否</w:t>
      </w:r>
    </w:p>
    <w:p w14:paraId="03D48B6F">
      <w:pPr>
        <w:pStyle w:val="4"/>
      </w:pPr>
      <w:r>
        <w:rPr>
          <w:rFonts w:ascii="仿宋_GB2312" w:hAnsi="仿宋_GB2312" w:eastAsia="仿宋_GB2312" w:cs="仿宋_GB2312"/>
        </w:rPr>
        <w:t>（九）采购标的是否属于政府购买服务：否</w:t>
      </w:r>
    </w:p>
    <w:p w14:paraId="4C102678">
      <w:pPr>
        <w:pStyle w:val="4"/>
      </w:pPr>
      <w:r>
        <w:rPr>
          <w:rFonts w:ascii="仿宋_GB2312" w:hAnsi="仿宋_GB2312" w:eastAsia="仿宋_GB2312" w:cs="仿宋_GB2312"/>
        </w:rPr>
        <w:t>（十）是否属于政务信息系统项目：否</w:t>
      </w:r>
    </w:p>
    <w:p w14:paraId="6197AF58">
      <w:pPr>
        <w:pStyle w:val="4"/>
      </w:pPr>
      <w:r>
        <w:rPr>
          <w:rFonts w:ascii="仿宋_GB2312" w:hAnsi="仿宋_GB2312" w:eastAsia="仿宋_GB2312" w:cs="仿宋_GB2312"/>
        </w:rPr>
        <w:t>（十一）是否属于高校、科研院所的科研仪器设备采购：否</w:t>
      </w:r>
    </w:p>
    <w:p w14:paraId="315534C2">
      <w:pPr>
        <w:pStyle w:val="4"/>
      </w:pPr>
      <w:r>
        <w:rPr>
          <w:rFonts w:ascii="仿宋_GB2312" w:hAnsi="仿宋_GB2312" w:eastAsia="仿宋_GB2312" w:cs="仿宋_GB2312"/>
        </w:rPr>
        <w:t>（十二）是否属于一签多年项目：否</w:t>
      </w:r>
    </w:p>
    <w:p w14:paraId="539D1DB8">
      <w:pPr>
        <w:pStyle w:val="4"/>
        <w:ind w:firstLine="1275"/>
        <w:outlineLvl w:val="2"/>
      </w:pPr>
      <w:r>
        <w:rPr>
          <w:rFonts w:ascii="仿宋_GB2312" w:hAnsi="仿宋_GB2312" w:eastAsia="仿宋_GB2312" w:cs="仿宋_GB2312"/>
          <w:b/>
          <w:sz w:val="28"/>
        </w:rPr>
        <w:t>四、项目需求及分包情况、采购标的</w:t>
      </w:r>
    </w:p>
    <w:p w14:paraId="4B5B7B56">
      <w:pPr>
        <w:pStyle w:val="4"/>
        <w:outlineLvl w:val="4"/>
      </w:pPr>
      <w:r>
        <w:rPr>
          <w:rFonts w:ascii="仿宋_GB2312" w:hAnsi="仿宋_GB2312" w:eastAsia="仿宋_GB2312" w:cs="仿宋_GB2312"/>
          <w:b/>
          <w:sz w:val="20"/>
        </w:rPr>
        <w:t>（一）分包名称：军休服务保障采购项目</w:t>
      </w:r>
    </w:p>
    <w:p w14:paraId="4186BC3D">
      <w:pPr>
        <w:pStyle w:val="4"/>
      </w:pPr>
      <w:r>
        <w:rPr>
          <w:rFonts w:ascii="仿宋_GB2312" w:hAnsi="仿宋_GB2312" w:eastAsia="仿宋_GB2312" w:cs="仿宋_GB2312"/>
        </w:rPr>
        <w:t>1、执行政府采购促进中小企业发展的相关政策</w:t>
      </w:r>
    </w:p>
    <w:p w14:paraId="2D578B62">
      <w:pPr>
        <w:pStyle w:val="4"/>
      </w:pPr>
      <w:r>
        <w:rPr>
          <w:rFonts w:ascii="仿宋_GB2312" w:hAnsi="仿宋_GB2312" w:eastAsia="仿宋_GB2312" w:cs="仿宋_GB2312"/>
          <w:color w:val="000000"/>
        </w:rPr>
        <w:t>1)</w:t>
      </w:r>
      <w:r>
        <w:rPr>
          <w:rFonts w:ascii="仿宋_GB2312" w:hAnsi="仿宋_GB2312" w:eastAsia="仿宋_GB2312" w:cs="仿宋_GB2312"/>
        </w:rPr>
        <w:t>专门面向中小企业采购</w:t>
      </w:r>
    </w:p>
    <w:p w14:paraId="53D4C582">
      <w:pPr>
        <w:pStyle w:val="4"/>
        <w:ind w:firstLine="840"/>
      </w:pPr>
      <w:r>
        <w:rPr>
          <w:rFonts w:ascii="仿宋_GB2312" w:hAnsi="仿宋_GB2312" w:eastAsia="仿宋_GB2312" w:cs="仿宋_GB2312"/>
          <w:color w:val="000000"/>
        </w:rPr>
        <w:t>2)面向的企业规模：</w:t>
      </w:r>
      <w:r>
        <w:rPr>
          <w:rFonts w:ascii="仿宋_GB2312" w:hAnsi="仿宋_GB2312" w:eastAsia="仿宋_GB2312" w:cs="仿宋_GB2312"/>
        </w:rPr>
        <w:t>中小企业</w:t>
      </w:r>
    </w:p>
    <w:p w14:paraId="79692332">
      <w:pPr>
        <w:pStyle w:val="4"/>
        <w:ind w:firstLine="840"/>
      </w:pPr>
      <w:r>
        <w:rPr>
          <w:rFonts w:ascii="仿宋_GB2312" w:hAnsi="仿宋_GB2312" w:eastAsia="仿宋_GB2312" w:cs="仿宋_GB2312"/>
          <w:color w:val="000000"/>
        </w:rPr>
        <w:t>3)预留形式：</w:t>
      </w:r>
      <w:r>
        <w:rPr>
          <w:rFonts w:ascii="仿宋_GB2312" w:hAnsi="仿宋_GB2312" w:eastAsia="仿宋_GB2312" w:cs="仿宋_GB2312"/>
        </w:rPr>
        <w:t>设置专门采购包</w:t>
      </w:r>
    </w:p>
    <w:p w14:paraId="74D82E25">
      <w:pPr>
        <w:pStyle w:val="4"/>
        <w:ind w:firstLine="840"/>
      </w:pPr>
      <w:r>
        <w:rPr>
          <w:rFonts w:ascii="仿宋_GB2312" w:hAnsi="仿宋_GB2312" w:eastAsia="仿宋_GB2312" w:cs="仿宋_GB2312"/>
          <w:color w:val="000000"/>
        </w:rPr>
        <w:t>4)预留比例：</w:t>
      </w:r>
      <w:r>
        <w:rPr>
          <w:rFonts w:ascii="仿宋_GB2312" w:hAnsi="仿宋_GB2312" w:eastAsia="仿宋_GB2312" w:cs="仿宋_GB2312"/>
        </w:rPr>
        <w:t>100%</w:t>
      </w:r>
    </w:p>
    <w:p w14:paraId="6038DB2A">
      <w:pPr>
        <w:pStyle w:val="4"/>
      </w:pPr>
      <w:r>
        <w:rPr>
          <w:rFonts w:ascii="仿宋_GB2312" w:hAnsi="仿宋_GB2312" w:eastAsia="仿宋_GB2312" w:cs="仿宋_GB2312"/>
        </w:rPr>
        <w:t>2、预算金额（元）：689,500.00 ，大写（人民币）： 陆拾捌万玖仟伍佰元整</w:t>
      </w:r>
    </w:p>
    <w:p w14:paraId="75490335">
      <w:pPr>
        <w:pStyle w:val="4"/>
        <w:ind w:firstLine="780"/>
      </w:pPr>
      <w:r>
        <w:rPr>
          <w:rFonts w:ascii="仿宋_GB2312" w:hAnsi="仿宋_GB2312" w:eastAsia="仿宋_GB2312" w:cs="仿宋_GB2312"/>
        </w:rPr>
        <w:t xml:space="preserve"> 最高限价（元）： 689,500.00 ，大写（人民币）： 陆拾捌万玖仟伍佰元整</w:t>
      </w:r>
    </w:p>
    <w:p w14:paraId="6566961F">
      <w:pPr>
        <w:pStyle w:val="4"/>
      </w:pPr>
      <w:r>
        <w:rPr>
          <w:rFonts w:ascii="仿宋_GB2312" w:hAnsi="仿宋_GB2312" w:eastAsia="仿宋_GB2312" w:cs="仿宋_GB2312"/>
        </w:rPr>
        <w:t>3、评审方法：综合评分法</w:t>
      </w:r>
    </w:p>
    <w:p w14:paraId="3478C09B">
      <w:pPr>
        <w:pStyle w:val="4"/>
      </w:pPr>
      <w:r>
        <w:rPr>
          <w:rFonts w:ascii="仿宋_GB2312" w:hAnsi="仿宋_GB2312" w:eastAsia="仿宋_GB2312" w:cs="仿宋_GB2312"/>
        </w:rPr>
        <w:t>4、是否支持联合体投标：否</w:t>
      </w:r>
    </w:p>
    <w:p w14:paraId="0DB42611">
      <w:pPr>
        <w:pStyle w:val="4"/>
      </w:pPr>
      <w:r>
        <w:rPr>
          <w:rFonts w:ascii="仿宋_GB2312" w:hAnsi="仿宋_GB2312" w:eastAsia="仿宋_GB2312" w:cs="仿宋_GB2312"/>
        </w:rPr>
        <w:t>5、是否允许合同分包选项：否</w:t>
      </w:r>
    </w:p>
    <w:p w14:paraId="30F10989">
      <w:pPr>
        <w:pStyle w:val="4"/>
      </w:pPr>
      <w:r>
        <w:rPr>
          <w:rFonts w:ascii="仿宋_GB2312" w:hAnsi="仿宋_GB2312" w:eastAsia="仿宋_GB2312" w:cs="仿宋_GB2312"/>
        </w:rPr>
        <w:t>6、拟采购标的的技术要求</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97"/>
        <w:gridCol w:w="1993"/>
        <w:gridCol w:w="1661"/>
        <w:gridCol w:w="1993"/>
        <w:gridCol w:w="1661"/>
      </w:tblGrid>
      <w:tr w14:paraId="08740C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vMerge w:val="restart"/>
          </w:tcPr>
          <w:p w14:paraId="2BE79F6B">
            <w:pPr>
              <w:pStyle w:val="4"/>
            </w:pPr>
            <w:r>
              <w:rPr>
                <w:rFonts w:ascii="仿宋_GB2312" w:hAnsi="仿宋_GB2312" w:eastAsia="仿宋_GB2312" w:cs="仿宋_GB2312"/>
              </w:rPr>
              <w:t>1</w:t>
            </w:r>
          </w:p>
        </w:tc>
        <w:tc>
          <w:tcPr>
            <w:tcW w:w="1993" w:type="dxa"/>
          </w:tcPr>
          <w:p w14:paraId="7868292E">
            <w:pPr>
              <w:pStyle w:val="4"/>
              <w:jc w:val="center"/>
            </w:pPr>
            <w:r>
              <w:rPr>
                <w:rFonts w:ascii="仿宋_GB2312" w:hAnsi="仿宋_GB2312" w:eastAsia="仿宋_GB2312" w:cs="仿宋_GB2312"/>
                <w:b/>
                <w:color w:val="000000"/>
              </w:rPr>
              <w:t>采购品目</w:t>
            </w:r>
          </w:p>
        </w:tc>
        <w:tc>
          <w:tcPr>
            <w:tcW w:w="1661" w:type="dxa"/>
          </w:tcPr>
          <w:p w14:paraId="740E0EAD">
            <w:pPr>
              <w:pStyle w:val="4"/>
            </w:pPr>
            <w:r>
              <w:rPr>
                <w:rFonts w:ascii="仿宋_GB2312" w:hAnsi="仿宋_GB2312" w:eastAsia="仿宋_GB2312" w:cs="仿宋_GB2312"/>
              </w:rPr>
              <w:t>其他社会服务</w:t>
            </w:r>
          </w:p>
        </w:tc>
        <w:tc>
          <w:tcPr>
            <w:tcW w:w="1993" w:type="dxa"/>
          </w:tcPr>
          <w:p w14:paraId="44470F1C">
            <w:pPr>
              <w:pStyle w:val="4"/>
              <w:jc w:val="center"/>
            </w:pPr>
            <w:r>
              <w:rPr>
                <w:rFonts w:ascii="仿宋_GB2312" w:hAnsi="仿宋_GB2312" w:eastAsia="仿宋_GB2312" w:cs="仿宋_GB2312"/>
                <w:b/>
                <w:color w:val="000000"/>
              </w:rPr>
              <w:t>标的名称</w:t>
            </w:r>
          </w:p>
        </w:tc>
        <w:tc>
          <w:tcPr>
            <w:tcW w:w="1661" w:type="dxa"/>
          </w:tcPr>
          <w:p w14:paraId="5D38DD0A">
            <w:pPr>
              <w:pStyle w:val="4"/>
            </w:pPr>
            <w:r>
              <w:rPr>
                <w:rFonts w:ascii="仿宋_GB2312" w:hAnsi="仿宋_GB2312" w:eastAsia="仿宋_GB2312" w:cs="仿宋_GB2312"/>
              </w:rPr>
              <w:t>军休服务保障</w:t>
            </w:r>
          </w:p>
        </w:tc>
      </w:tr>
      <w:tr w14:paraId="50D9DA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vMerge w:val="continue"/>
          </w:tcPr>
          <w:p w14:paraId="0CFCA29A"/>
        </w:tc>
        <w:tc>
          <w:tcPr>
            <w:tcW w:w="1993" w:type="dxa"/>
          </w:tcPr>
          <w:p w14:paraId="036A93B8">
            <w:pPr>
              <w:pStyle w:val="4"/>
              <w:jc w:val="center"/>
            </w:pPr>
            <w:r>
              <w:rPr>
                <w:rFonts w:ascii="仿宋_GB2312" w:hAnsi="仿宋_GB2312" w:eastAsia="仿宋_GB2312" w:cs="仿宋_GB2312"/>
                <w:b/>
                <w:color w:val="000000"/>
              </w:rPr>
              <w:t>数量</w:t>
            </w:r>
          </w:p>
        </w:tc>
        <w:tc>
          <w:tcPr>
            <w:tcW w:w="1661" w:type="dxa"/>
          </w:tcPr>
          <w:p w14:paraId="109C4AE8">
            <w:pPr>
              <w:pStyle w:val="4"/>
              <w:jc w:val="right"/>
            </w:pPr>
            <w:r>
              <w:rPr>
                <w:rFonts w:ascii="仿宋_GB2312" w:hAnsi="仿宋_GB2312" w:eastAsia="仿宋_GB2312" w:cs="仿宋_GB2312"/>
              </w:rPr>
              <w:t>1.00</w:t>
            </w:r>
          </w:p>
        </w:tc>
        <w:tc>
          <w:tcPr>
            <w:tcW w:w="1993" w:type="dxa"/>
          </w:tcPr>
          <w:p w14:paraId="2355C386">
            <w:pPr>
              <w:pStyle w:val="4"/>
              <w:jc w:val="center"/>
            </w:pPr>
            <w:r>
              <w:rPr>
                <w:rFonts w:ascii="仿宋_GB2312" w:hAnsi="仿宋_GB2312" w:eastAsia="仿宋_GB2312" w:cs="仿宋_GB2312"/>
                <w:b/>
                <w:color w:val="000000"/>
              </w:rPr>
              <w:t>单位</w:t>
            </w:r>
          </w:p>
        </w:tc>
        <w:tc>
          <w:tcPr>
            <w:tcW w:w="1661" w:type="dxa"/>
          </w:tcPr>
          <w:p w14:paraId="35B7E3BC">
            <w:pPr>
              <w:pStyle w:val="4"/>
            </w:pPr>
            <w:r>
              <w:rPr>
                <w:rFonts w:ascii="仿宋_GB2312" w:hAnsi="仿宋_GB2312" w:eastAsia="仿宋_GB2312" w:cs="仿宋_GB2312"/>
              </w:rPr>
              <w:t>项</w:t>
            </w:r>
          </w:p>
        </w:tc>
      </w:tr>
      <w:tr w14:paraId="122086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vMerge w:val="continue"/>
          </w:tcPr>
          <w:p w14:paraId="34DB6013"/>
        </w:tc>
        <w:tc>
          <w:tcPr>
            <w:tcW w:w="1993" w:type="dxa"/>
          </w:tcPr>
          <w:p w14:paraId="54B8390E">
            <w:pPr>
              <w:pStyle w:val="4"/>
              <w:jc w:val="center"/>
            </w:pPr>
            <w:r>
              <w:rPr>
                <w:rFonts w:ascii="仿宋_GB2312" w:hAnsi="仿宋_GB2312" w:eastAsia="仿宋_GB2312" w:cs="仿宋_GB2312"/>
                <w:b/>
                <w:color w:val="000000"/>
              </w:rPr>
              <w:t>合计金额（元）</w:t>
            </w:r>
          </w:p>
        </w:tc>
        <w:tc>
          <w:tcPr>
            <w:tcW w:w="1661" w:type="dxa"/>
          </w:tcPr>
          <w:p w14:paraId="2EBD4A81">
            <w:pPr>
              <w:pStyle w:val="4"/>
              <w:jc w:val="right"/>
            </w:pPr>
            <w:r>
              <w:rPr>
                <w:rFonts w:ascii="仿宋_GB2312" w:hAnsi="仿宋_GB2312" w:eastAsia="仿宋_GB2312" w:cs="仿宋_GB2312"/>
              </w:rPr>
              <w:t>689,500.00</w:t>
            </w:r>
          </w:p>
        </w:tc>
        <w:tc>
          <w:tcPr>
            <w:tcW w:w="1993" w:type="dxa"/>
          </w:tcPr>
          <w:p w14:paraId="0317686A">
            <w:pPr>
              <w:pStyle w:val="4"/>
              <w:jc w:val="center"/>
            </w:pPr>
            <w:r>
              <w:rPr>
                <w:rFonts w:ascii="仿宋_GB2312" w:hAnsi="仿宋_GB2312" w:eastAsia="仿宋_GB2312" w:cs="仿宋_GB2312"/>
                <w:b/>
                <w:color w:val="000000"/>
              </w:rPr>
              <w:t>单价（元）</w:t>
            </w:r>
          </w:p>
        </w:tc>
        <w:tc>
          <w:tcPr>
            <w:tcW w:w="1661" w:type="dxa"/>
          </w:tcPr>
          <w:p w14:paraId="460BA984">
            <w:pPr>
              <w:pStyle w:val="4"/>
              <w:jc w:val="right"/>
            </w:pPr>
            <w:r>
              <w:rPr>
                <w:rFonts w:ascii="仿宋_GB2312" w:hAnsi="仿宋_GB2312" w:eastAsia="仿宋_GB2312" w:cs="仿宋_GB2312"/>
              </w:rPr>
              <w:t>689,500.00</w:t>
            </w:r>
          </w:p>
        </w:tc>
      </w:tr>
      <w:tr w14:paraId="21F733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vMerge w:val="continue"/>
          </w:tcPr>
          <w:p w14:paraId="5EE009D2"/>
        </w:tc>
        <w:tc>
          <w:tcPr>
            <w:tcW w:w="1993" w:type="dxa"/>
          </w:tcPr>
          <w:p w14:paraId="45D7D031">
            <w:pPr>
              <w:pStyle w:val="4"/>
              <w:jc w:val="center"/>
            </w:pPr>
            <w:r>
              <w:rPr>
                <w:rFonts w:ascii="仿宋_GB2312" w:hAnsi="仿宋_GB2312" w:eastAsia="仿宋_GB2312" w:cs="仿宋_GB2312"/>
                <w:b/>
                <w:color w:val="000000"/>
              </w:rPr>
              <w:t>是否采购节能产品</w:t>
            </w:r>
          </w:p>
        </w:tc>
        <w:tc>
          <w:tcPr>
            <w:tcW w:w="1661" w:type="dxa"/>
          </w:tcPr>
          <w:p w14:paraId="256E0DF3">
            <w:pPr>
              <w:pStyle w:val="4"/>
            </w:pPr>
            <w:r>
              <w:rPr>
                <w:rFonts w:ascii="仿宋_GB2312" w:hAnsi="仿宋_GB2312" w:eastAsia="仿宋_GB2312" w:cs="仿宋_GB2312"/>
              </w:rPr>
              <w:t>否</w:t>
            </w:r>
          </w:p>
        </w:tc>
        <w:tc>
          <w:tcPr>
            <w:tcW w:w="1993" w:type="dxa"/>
          </w:tcPr>
          <w:p w14:paraId="7CC5D8EE">
            <w:pPr>
              <w:pStyle w:val="4"/>
              <w:jc w:val="center"/>
            </w:pPr>
            <w:r>
              <w:rPr>
                <w:rFonts w:ascii="仿宋_GB2312" w:hAnsi="仿宋_GB2312" w:eastAsia="仿宋_GB2312" w:cs="仿宋_GB2312"/>
                <w:b/>
                <w:color w:val="000000"/>
              </w:rPr>
              <w:t>未采购节能产品原因</w:t>
            </w:r>
          </w:p>
        </w:tc>
        <w:tc>
          <w:tcPr>
            <w:tcW w:w="1661" w:type="dxa"/>
          </w:tcPr>
          <w:p w14:paraId="640D7614">
            <w:pPr>
              <w:pStyle w:val="4"/>
            </w:pPr>
            <w:r>
              <w:rPr>
                <w:rFonts w:ascii="仿宋_GB2312" w:hAnsi="仿宋_GB2312" w:eastAsia="仿宋_GB2312" w:cs="仿宋_GB2312"/>
              </w:rPr>
              <w:t>无</w:t>
            </w:r>
          </w:p>
        </w:tc>
      </w:tr>
      <w:tr w14:paraId="07630E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vMerge w:val="continue"/>
          </w:tcPr>
          <w:p w14:paraId="7B5755E1"/>
        </w:tc>
        <w:tc>
          <w:tcPr>
            <w:tcW w:w="1993" w:type="dxa"/>
          </w:tcPr>
          <w:p w14:paraId="59DA37B4">
            <w:pPr>
              <w:pStyle w:val="4"/>
              <w:jc w:val="center"/>
            </w:pPr>
            <w:r>
              <w:rPr>
                <w:rFonts w:ascii="仿宋_GB2312" w:hAnsi="仿宋_GB2312" w:eastAsia="仿宋_GB2312" w:cs="仿宋_GB2312"/>
                <w:b/>
                <w:color w:val="000000"/>
              </w:rPr>
              <w:t>是否采购环保产品</w:t>
            </w:r>
          </w:p>
        </w:tc>
        <w:tc>
          <w:tcPr>
            <w:tcW w:w="1661" w:type="dxa"/>
          </w:tcPr>
          <w:p w14:paraId="6471E67C">
            <w:pPr>
              <w:pStyle w:val="4"/>
            </w:pPr>
            <w:r>
              <w:rPr>
                <w:rFonts w:ascii="仿宋_GB2312" w:hAnsi="仿宋_GB2312" w:eastAsia="仿宋_GB2312" w:cs="仿宋_GB2312"/>
              </w:rPr>
              <w:t>否</w:t>
            </w:r>
          </w:p>
        </w:tc>
        <w:tc>
          <w:tcPr>
            <w:tcW w:w="1993" w:type="dxa"/>
          </w:tcPr>
          <w:p w14:paraId="0B691A02">
            <w:pPr>
              <w:pStyle w:val="4"/>
              <w:jc w:val="center"/>
            </w:pPr>
            <w:r>
              <w:rPr>
                <w:rFonts w:ascii="仿宋_GB2312" w:hAnsi="仿宋_GB2312" w:eastAsia="仿宋_GB2312" w:cs="仿宋_GB2312"/>
                <w:b/>
                <w:color w:val="000000"/>
              </w:rPr>
              <w:t>未采购环保产品原因</w:t>
            </w:r>
          </w:p>
        </w:tc>
        <w:tc>
          <w:tcPr>
            <w:tcW w:w="1661" w:type="dxa"/>
          </w:tcPr>
          <w:p w14:paraId="52EC9948">
            <w:pPr>
              <w:pStyle w:val="4"/>
            </w:pPr>
            <w:r>
              <w:rPr>
                <w:rFonts w:ascii="仿宋_GB2312" w:hAnsi="仿宋_GB2312" w:eastAsia="仿宋_GB2312" w:cs="仿宋_GB2312"/>
              </w:rPr>
              <w:t>无</w:t>
            </w:r>
          </w:p>
        </w:tc>
      </w:tr>
      <w:tr w14:paraId="2C0DA2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vMerge w:val="continue"/>
          </w:tcPr>
          <w:p w14:paraId="1D91EB8E"/>
        </w:tc>
        <w:tc>
          <w:tcPr>
            <w:tcW w:w="1993" w:type="dxa"/>
          </w:tcPr>
          <w:p w14:paraId="7F35A99A">
            <w:pPr>
              <w:pStyle w:val="4"/>
              <w:jc w:val="center"/>
            </w:pPr>
            <w:r>
              <w:rPr>
                <w:rFonts w:ascii="仿宋_GB2312" w:hAnsi="仿宋_GB2312" w:eastAsia="仿宋_GB2312" w:cs="仿宋_GB2312"/>
                <w:b/>
                <w:color w:val="000000"/>
              </w:rPr>
              <w:t>是否采购进口产品</w:t>
            </w:r>
          </w:p>
        </w:tc>
        <w:tc>
          <w:tcPr>
            <w:tcW w:w="1661" w:type="dxa"/>
          </w:tcPr>
          <w:p w14:paraId="3E85B7F7">
            <w:pPr>
              <w:pStyle w:val="4"/>
            </w:pPr>
            <w:r>
              <w:rPr>
                <w:rFonts w:ascii="仿宋_GB2312" w:hAnsi="仿宋_GB2312" w:eastAsia="仿宋_GB2312" w:cs="仿宋_GB2312"/>
              </w:rPr>
              <w:t>否</w:t>
            </w:r>
          </w:p>
        </w:tc>
        <w:tc>
          <w:tcPr>
            <w:tcW w:w="1993" w:type="dxa"/>
          </w:tcPr>
          <w:p w14:paraId="2D067FB7">
            <w:pPr>
              <w:pStyle w:val="4"/>
              <w:jc w:val="center"/>
            </w:pPr>
            <w:r>
              <w:rPr>
                <w:rFonts w:ascii="仿宋_GB2312" w:hAnsi="仿宋_GB2312" w:eastAsia="仿宋_GB2312" w:cs="仿宋_GB2312"/>
                <w:b/>
                <w:color w:val="000000"/>
              </w:rPr>
              <w:t>标的物所属行业</w:t>
            </w:r>
          </w:p>
        </w:tc>
        <w:tc>
          <w:tcPr>
            <w:tcW w:w="1661" w:type="dxa"/>
          </w:tcPr>
          <w:p w14:paraId="633183A0">
            <w:pPr>
              <w:pStyle w:val="4"/>
            </w:pPr>
            <w:r>
              <w:rPr>
                <w:rFonts w:ascii="仿宋_GB2312" w:hAnsi="仿宋_GB2312" w:eastAsia="仿宋_GB2312" w:cs="仿宋_GB2312"/>
              </w:rPr>
              <w:t>其他未列明行业</w:t>
            </w:r>
          </w:p>
        </w:tc>
      </w:tr>
    </w:tbl>
    <w:p w14:paraId="340AC9AC">
      <w:pPr>
        <w:pStyle w:val="4"/>
      </w:pPr>
      <w:r>
        <w:rPr>
          <w:rFonts w:ascii="仿宋_GB2312" w:hAnsi="仿宋_GB2312" w:eastAsia="仿宋_GB2312" w:cs="仿宋_GB2312"/>
        </w:rPr>
        <w:t>标的名称：军休服务保障</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243AE2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A0AF6FE">
            <w:pPr>
              <w:pStyle w:val="4"/>
            </w:pPr>
            <w:r>
              <w:rPr>
                <w:rFonts w:ascii="仿宋_GB2312" w:hAnsi="仿宋_GB2312" w:eastAsia="仿宋_GB2312" w:cs="仿宋_GB2312"/>
              </w:rPr>
              <w:t xml:space="preserve"> 参数性质</w:t>
            </w:r>
          </w:p>
        </w:tc>
        <w:tc>
          <w:tcPr>
            <w:tcW w:w="2769" w:type="dxa"/>
          </w:tcPr>
          <w:p w14:paraId="1C8CFD79">
            <w:pPr>
              <w:pStyle w:val="4"/>
            </w:pPr>
            <w:r>
              <w:rPr>
                <w:rFonts w:ascii="仿宋_GB2312" w:hAnsi="仿宋_GB2312" w:eastAsia="仿宋_GB2312" w:cs="仿宋_GB2312"/>
              </w:rPr>
              <w:t xml:space="preserve"> 序号</w:t>
            </w:r>
          </w:p>
        </w:tc>
        <w:tc>
          <w:tcPr>
            <w:tcW w:w="2769" w:type="dxa"/>
          </w:tcPr>
          <w:p w14:paraId="33F9A8CC">
            <w:pPr>
              <w:pStyle w:val="4"/>
            </w:pPr>
            <w:r>
              <w:rPr>
                <w:rFonts w:ascii="仿宋_GB2312" w:hAnsi="仿宋_GB2312" w:eastAsia="仿宋_GB2312" w:cs="仿宋_GB2312"/>
              </w:rPr>
              <w:t xml:space="preserve"> 技术参数与性能指标</w:t>
            </w:r>
          </w:p>
        </w:tc>
      </w:tr>
      <w:tr w14:paraId="2F29CC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58F946B">
            <w:pPr>
              <w:pStyle w:val="4"/>
            </w:pPr>
            <w:r>
              <w:rPr>
                <w:rFonts w:ascii="仿宋_GB2312" w:hAnsi="仿宋_GB2312" w:eastAsia="仿宋_GB2312" w:cs="仿宋_GB2312"/>
              </w:rPr>
              <w:t>★</w:t>
            </w:r>
          </w:p>
        </w:tc>
        <w:tc>
          <w:tcPr>
            <w:tcW w:w="2769" w:type="dxa"/>
          </w:tcPr>
          <w:p w14:paraId="03C86CC3">
            <w:pPr>
              <w:pStyle w:val="4"/>
            </w:pPr>
            <w:r>
              <w:rPr>
                <w:rFonts w:ascii="仿宋_GB2312" w:hAnsi="仿宋_GB2312" w:eastAsia="仿宋_GB2312" w:cs="仿宋_GB2312"/>
              </w:rPr>
              <w:t>1</w:t>
            </w:r>
          </w:p>
        </w:tc>
        <w:tc>
          <w:tcPr>
            <w:tcW w:w="2769" w:type="dxa"/>
          </w:tcPr>
          <w:p w14:paraId="201CE4EF">
            <w:pPr>
              <w:pStyle w:val="4"/>
              <w:jc w:val="both"/>
              <w:rPr>
                <w:rFonts w:hint="eastAsia" w:ascii="仿宋_GB2312" w:hAnsi="仿宋_GB2312" w:eastAsia="仿宋_GB2312" w:cs="仿宋_GB2312"/>
                <w:b/>
                <w:color w:val="000000"/>
                <w:sz w:val="21"/>
              </w:rPr>
            </w:pPr>
            <w:r>
              <w:rPr>
                <w:rFonts w:hint="eastAsia" w:ascii="仿宋_GB2312" w:hAnsi="仿宋_GB2312" w:eastAsia="仿宋_GB2312" w:cs="仿宋_GB2312"/>
                <w:b/>
                <w:color w:val="000000"/>
                <w:sz w:val="21"/>
              </w:rPr>
              <w:t>一、服务内容：</w:t>
            </w:r>
          </w:p>
          <w:p w14:paraId="1F085EF2">
            <w:pPr>
              <w:pStyle w:val="4"/>
              <w:jc w:val="both"/>
              <w:rPr>
                <w:rFonts w:hint="eastAsia" w:ascii="仿宋_GB2312" w:hAnsi="仿宋_GB2312" w:eastAsia="仿宋_GB2312" w:cs="仿宋_GB2312"/>
                <w:b/>
                <w:color w:val="000000"/>
                <w:sz w:val="21"/>
              </w:rPr>
            </w:pPr>
          </w:p>
          <w:p w14:paraId="2979A571">
            <w:pPr>
              <w:pStyle w:val="4"/>
              <w:jc w:val="both"/>
              <w:rPr>
                <w:rFonts w:hint="eastAsia" w:ascii="仿宋_GB2312" w:hAnsi="仿宋_GB2312" w:eastAsia="仿宋_GB2312" w:cs="仿宋_GB2312"/>
                <w:b/>
                <w:color w:val="000000"/>
                <w:sz w:val="21"/>
              </w:rPr>
            </w:pPr>
            <w:r>
              <w:rPr>
                <w:rFonts w:hint="eastAsia" w:ascii="仿宋_GB2312" w:hAnsi="仿宋_GB2312" w:eastAsia="仿宋_GB2312" w:cs="仿宋_GB2312"/>
                <w:b/>
                <w:color w:val="000000"/>
                <w:sz w:val="21"/>
              </w:rPr>
              <w:t xml:space="preserve">  西安市胡家庙军队离休退休干部休养所通过购买军休服务保障服务的形式，聘用相关保障人员，服务军休人员2000余名，两个活动站点共约800余㎡，成交供应商须按照本合同约定，统筹提供以下全部服务事项，并选派充足、合格的服务保障人员，确保各项服务顺利实施。</w:t>
            </w:r>
          </w:p>
          <w:p w14:paraId="6225DEE8">
            <w:pPr>
              <w:pStyle w:val="4"/>
              <w:jc w:val="both"/>
              <w:rPr>
                <w:rFonts w:hint="eastAsia" w:ascii="仿宋_GB2312" w:hAnsi="仿宋_GB2312" w:eastAsia="仿宋_GB2312" w:cs="仿宋_GB2312"/>
                <w:b/>
                <w:color w:val="000000"/>
                <w:sz w:val="21"/>
              </w:rPr>
            </w:pPr>
          </w:p>
          <w:p w14:paraId="78C4DEE8">
            <w:pPr>
              <w:pStyle w:val="4"/>
              <w:jc w:val="both"/>
              <w:rPr>
                <w:rFonts w:hint="eastAsia" w:ascii="仿宋_GB2312" w:hAnsi="仿宋_GB2312" w:eastAsia="仿宋_GB2312" w:cs="仿宋_GB2312"/>
                <w:b/>
                <w:color w:val="000000"/>
                <w:sz w:val="21"/>
              </w:rPr>
            </w:pPr>
            <w:r>
              <w:rPr>
                <w:rFonts w:hint="eastAsia" w:ascii="仿宋_GB2312" w:hAnsi="仿宋_GB2312" w:eastAsia="仿宋_GB2312" w:cs="仿宋_GB2312"/>
                <w:b/>
                <w:color w:val="000000"/>
                <w:sz w:val="21"/>
              </w:rPr>
              <w:t xml:space="preserve"> 1.军休服务车辆保障 </w:t>
            </w:r>
          </w:p>
          <w:p w14:paraId="7DC1C53A">
            <w:pPr>
              <w:pStyle w:val="4"/>
              <w:jc w:val="both"/>
              <w:rPr>
                <w:rFonts w:hint="eastAsia" w:ascii="仿宋_GB2312" w:hAnsi="仿宋_GB2312" w:eastAsia="仿宋_GB2312" w:cs="仿宋_GB2312"/>
                <w:b/>
                <w:color w:val="000000"/>
                <w:sz w:val="21"/>
              </w:rPr>
            </w:pPr>
          </w:p>
          <w:p w14:paraId="2954D2BD">
            <w:pPr>
              <w:pStyle w:val="4"/>
              <w:jc w:val="both"/>
              <w:rPr>
                <w:rFonts w:hint="eastAsia" w:ascii="仿宋_GB2312" w:hAnsi="仿宋_GB2312" w:eastAsia="仿宋_GB2312" w:cs="仿宋_GB2312"/>
                <w:b/>
                <w:color w:val="000000"/>
                <w:sz w:val="21"/>
              </w:rPr>
            </w:pPr>
            <w:r>
              <w:rPr>
                <w:rFonts w:hint="eastAsia" w:ascii="仿宋_GB2312" w:hAnsi="仿宋_GB2312" w:eastAsia="仿宋_GB2312" w:cs="仿宋_GB2312"/>
                <w:b/>
                <w:color w:val="000000"/>
                <w:sz w:val="21"/>
              </w:rPr>
              <w:t xml:space="preserve">  成交供应商负责为采购人提供军休服务所需的车辆保障服务，包括但不限于：军休人员集体活动、走访慰问、应急就医、学习教育、工作人员会议接送等活动的车辆调度、驾驶及车辆日常清洁、安全检查等。</w:t>
            </w:r>
          </w:p>
          <w:p w14:paraId="39725D01">
            <w:pPr>
              <w:pStyle w:val="4"/>
              <w:jc w:val="both"/>
              <w:rPr>
                <w:rFonts w:hint="eastAsia" w:ascii="仿宋_GB2312" w:hAnsi="仿宋_GB2312" w:eastAsia="仿宋_GB2312" w:cs="仿宋_GB2312"/>
                <w:b/>
                <w:color w:val="000000"/>
                <w:sz w:val="21"/>
              </w:rPr>
            </w:pPr>
          </w:p>
          <w:p w14:paraId="73739EA2">
            <w:pPr>
              <w:pStyle w:val="4"/>
              <w:jc w:val="both"/>
              <w:rPr>
                <w:rFonts w:hint="eastAsia" w:ascii="仿宋_GB2312" w:hAnsi="仿宋_GB2312" w:eastAsia="仿宋_GB2312" w:cs="仿宋_GB2312"/>
                <w:b/>
                <w:color w:val="000000"/>
                <w:sz w:val="21"/>
              </w:rPr>
            </w:pPr>
            <w:r>
              <w:rPr>
                <w:rFonts w:hint="eastAsia" w:ascii="仿宋_GB2312" w:hAnsi="仿宋_GB2312" w:eastAsia="仿宋_GB2312" w:cs="仿宋_GB2312"/>
                <w:b/>
                <w:color w:val="000000"/>
                <w:sz w:val="21"/>
              </w:rPr>
              <w:t xml:space="preserve"> 2.军休人员服务站点卫生及其它服务保障</w:t>
            </w:r>
          </w:p>
          <w:p w14:paraId="4F7CC4FE">
            <w:pPr>
              <w:pStyle w:val="4"/>
              <w:jc w:val="both"/>
              <w:rPr>
                <w:rFonts w:hint="eastAsia" w:ascii="仿宋_GB2312" w:hAnsi="仿宋_GB2312" w:eastAsia="仿宋_GB2312" w:cs="仿宋_GB2312"/>
                <w:b/>
                <w:color w:val="000000"/>
                <w:sz w:val="21"/>
              </w:rPr>
            </w:pPr>
          </w:p>
          <w:p w14:paraId="23C0A30A">
            <w:pPr>
              <w:pStyle w:val="4"/>
              <w:jc w:val="both"/>
              <w:rPr>
                <w:rFonts w:hint="eastAsia" w:ascii="仿宋_GB2312" w:hAnsi="仿宋_GB2312" w:eastAsia="仿宋_GB2312" w:cs="仿宋_GB2312"/>
                <w:b/>
                <w:color w:val="000000"/>
                <w:sz w:val="21"/>
              </w:rPr>
            </w:pPr>
            <w:r>
              <w:rPr>
                <w:rFonts w:hint="eastAsia" w:ascii="仿宋_GB2312" w:hAnsi="仿宋_GB2312" w:eastAsia="仿宋_GB2312" w:cs="仿宋_GB2312"/>
                <w:b/>
                <w:color w:val="000000"/>
                <w:sz w:val="21"/>
              </w:rPr>
              <w:t xml:space="preserve">  成交供应商负责为采购人各军休人员服务站点提供环境卫生保障服务，包括卫生清扫、垃圾清运、器材维护、报纸收发等，确保办公及活动区域整洁有序；同时提供日常接待、引导、咨询等基础性服务保障。</w:t>
            </w:r>
          </w:p>
          <w:p w14:paraId="0ED88543">
            <w:pPr>
              <w:pStyle w:val="4"/>
              <w:jc w:val="both"/>
              <w:rPr>
                <w:rFonts w:hint="eastAsia" w:ascii="仿宋_GB2312" w:hAnsi="仿宋_GB2312" w:eastAsia="仿宋_GB2312" w:cs="仿宋_GB2312"/>
                <w:b/>
                <w:color w:val="000000"/>
                <w:sz w:val="21"/>
              </w:rPr>
            </w:pPr>
          </w:p>
          <w:p w14:paraId="33561F6E">
            <w:pPr>
              <w:pStyle w:val="4"/>
              <w:jc w:val="both"/>
              <w:rPr>
                <w:rFonts w:hint="eastAsia" w:ascii="仿宋_GB2312" w:hAnsi="仿宋_GB2312" w:eastAsia="仿宋_GB2312" w:cs="仿宋_GB2312"/>
                <w:b/>
                <w:color w:val="000000"/>
                <w:sz w:val="21"/>
              </w:rPr>
            </w:pPr>
            <w:r>
              <w:rPr>
                <w:rFonts w:hint="eastAsia" w:ascii="仿宋_GB2312" w:hAnsi="仿宋_GB2312" w:eastAsia="仿宋_GB2312" w:cs="仿宋_GB2312"/>
                <w:b/>
                <w:color w:val="000000"/>
                <w:sz w:val="21"/>
              </w:rPr>
              <w:t xml:space="preserve"> 3.八一、春节走访慰问服务</w:t>
            </w:r>
          </w:p>
          <w:p w14:paraId="033ED78B">
            <w:pPr>
              <w:pStyle w:val="4"/>
              <w:jc w:val="both"/>
              <w:rPr>
                <w:rFonts w:hint="eastAsia" w:ascii="仿宋_GB2312" w:hAnsi="仿宋_GB2312" w:eastAsia="仿宋_GB2312" w:cs="仿宋_GB2312"/>
                <w:b/>
                <w:color w:val="000000"/>
                <w:sz w:val="21"/>
              </w:rPr>
            </w:pPr>
          </w:p>
          <w:p w14:paraId="6241DD2D">
            <w:pPr>
              <w:pStyle w:val="4"/>
              <w:jc w:val="both"/>
              <w:rPr>
                <w:rFonts w:hint="eastAsia" w:ascii="仿宋_GB2312" w:hAnsi="仿宋_GB2312" w:eastAsia="仿宋_GB2312" w:cs="仿宋_GB2312"/>
                <w:b/>
                <w:color w:val="000000"/>
                <w:sz w:val="21"/>
              </w:rPr>
            </w:pPr>
            <w:r>
              <w:rPr>
                <w:rFonts w:hint="eastAsia" w:ascii="仿宋_GB2312" w:hAnsi="仿宋_GB2312" w:eastAsia="仿宋_GB2312" w:cs="仿宋_GB2312"/>
                <w:b/>
                <w:color w:val="000000"/>
                <w:sz w:val="21"/>
              </w:rPr>
              <w:t xml:space="preserve">  成交供应商负责在“八一”建军节、春节等重要节点，按采购人要求组织或协助开展对军休人员的走访慰问服务，包括慰问物资的采购建议、分装、搬运、分发及相关活动保障。</w:t>
            </w:r>
          </w:p>
          <w:p w14:paraId="1C10EDF0">
            <w:pPr>
              <w:pStyle w:val="4"/>
              <w:jc w:val="both"/>
              <w:rPr>
                <w:rFonts w:hint="eastAsia" w:ascii="仿宋_GB2312" w:hAnsi="仿宋_GB2312" w:eastAsia="仿宋_GB2312" w:cs="仿宋_GB2312"/>
                <w:b/>
                <w:color w:val="000000"/>
                <w:sz w:val="21"/>
              </w:rPr>
            </w:pPr>
          </w:p>
          <w:p w14:paraId="2BC8AD6A">
            <w:pPr>
              <w:pStyle w:val="4"/>
              <w:jc w:val="both"/>
              <w:rPr>
                <w:rFonts w:hint="eastAsia" w:ascii="仿宋_GB2312" w:hAnsi="仿宋_GB2312" w:eastAsia="仿宋_GB2312" w:cs="仿宋_GB2312"/>
                <w:b/>
                <w:color w:val="000000"/>
                <w:sz w:val="21"/>
              </w:rPr>
            </w:pPr>
            <w:r>
              <w:rPr>
                <w:rFonts w:hint="eastAsia" w:ascii="仿宋_GB2312" w:hAnsi="仿宋_GB2312" w:eastAsia="仿宋_GB2312" w:cs="仿宋_GB2312"/>
                <w:b/>
                <w:color w:val="000000"/>
                <w:sz w:val="21"/>
              </w:rPr>
              <w:t xml:space="preserve"> 4.文体活动与精神文化服务</w:t>
            </w:r>
          </w:p>
          <w:p w14:paraId="444D9F07">
            <w:pPr>
              <w:pStyle w:val="4"/>
              <w:jc w:val="both"/>
              <w:rPr>
                <w:rFonts w:hint="eastAsia" w:ascii="仿宋_GB2312" w:hAnsi="仿宋_GB2312" w:eastAsia="仿宋_GB2312" w:cs="仿宋_GB2312"/>
                <w:b/>
                <w:color w:val="000000"/>
                <w:sz w:val="21"/>
              </w:rPr>
            </w:pPr>
          </w:p>
          <w:p w14:paraId="65EA19D2">
            <w:pPr>
              <w:pStyle w:val="4"/>
              <w:jc w:val="both"/>
              <w:rPr>
                <w:rFonts w:hint="eastAsia" w:ascii="仿宋_GB2312" w:hAnsi="仿宋_GB2312" w:eastAsia="仿宋_GB2312" w:cs="仿宋_GB2312"/>
                <w:b/>
                <w:color w:val="000000"/>
                <w:sz w:val="21"/>
              </w:rPr>
            </w:pPr>
            <w:r>
              <w:rPr>
                <w:rFonts w:hint="eastAsia" w:ascii="仿宋_GB2312" w:hAnsi="仿宋_GB2312" w:eastAsia="仿宋_GB2312" w:cs="仿宋_GB2312"/>
                <w:b/>
                <w:color w:val="000000"/>
                <w:sz w:val="21"/>
              </w:rPr>
              <w:t xml:space="preserve">  成交供应商负责按采购人计划，组织、策划、保障军休人员文体活动和精神文化服务，包括但不限于：兴趣小组活动、主题比赛、文艺演出、参观学习、健康讲座等活动的场地布置、秩序维护、人员引导及后勤保障。</w:t>
            </w:r>
          </w:p>
          <w:p w14:paraId="4A0E7EC7">
            <w:pPr>
              <w:pStyle w:val="4"/>
              <w:jc w:val="both"/>
              <w:rPr>
                <w:rFonts w:hint="eastAsia" w:ascii="仿宋_GB2312" w:hAnsi="仿宋_GB2312" w:eastAsia="仿宋_GB2312" w:cs="仿宋_GB2312"/>
                <w:b/>
                <w:color w:val="000000"/>
                <w:sz w:val="21"/>
              </w:rPr>
            </w:pPr>
          </w:p>
          <w:p w14:paraId="0CE7FF9D">
            <w:pPr>
              <w:pStyle w:val="4"/>
              <w:jc w:val="both"/>
              <w:rPr>
                <w:rFonts w:hint="eastAsia" w:ascii="仿宋_GB2312" w:hAnsi="仿宋_GB2312" w:eastAsia="仿宋_GB2312" w:cs="仿宋_GB2312"/>
                <w:b/>
                <w:color w:val="000000"/>
                <w:sz w:val="21"/>
              </w:rPr>
            </w:pPr>
            <w:r>
              <w:rPr>
                <w:rFonts w:hint="eastAsia" w:ascii="仿宋_GB2312" w:hAnsi="仿宋_GB2312" w:eastAsia="仿宋_GB2312" w:cs="仿宋_GB2312"/>
                <w:b/>
                <w:color w:val="000000"/>
                <w:sz w:val="21"/>
              </w:rPr>
              <w:t xml:space="preserve"> 5.应急帮扶与临时专项服务</w:t>
            </w:r>
          </w:p>
          <w:p w14:paraId="4860F60E">
            <w:pPr>
              <w:pStyle w:val="4"/>
              <w:jc w:val="both"/>
              <w:rPr>
                <w:rFonts w:hint="eastAsia" w:ascii="仿宋_GB2312" w:hAnsi="仿宋_GB2312" w:eastAsia="仿宋_GB2312" w:cs="仿宋_GB2312"/>
                <w:b/>
                <w:color w:val="000000"/>
                <w:sz w:val="21"/>
              </w:rPr>
            </w:pPr>
          </w:p>
          <w:p w14:paraId="48F6DA98">
            <w:pPr>
              <w:pStyle w:val="4"/>
              <w:jc w:val="both"/>
              <w:rPr>
                <w:rFonts w:hint="eastAsia" w:ascii="仿宋_GB2312" w:hAnsi="仿宋_GB2312" w:eastAsia="仿宋_GB2312" w:cs="仿宋_GB2312"/>
                <w:b/>
                <w:color w:val="000000"/>
                <w:sz w:val="21"/>
              </w:rPr>
            </w:pPr>
            <w:r>
              <w:rPr>
                <w:rFonts w:hint="eastAsia" w:ascii="仿宋_GB2312" w:hAnsi="仿宋_GB2312" w:eastAsia="仿宋_GB2312" w:cs="仿宋_GB2312"/>
                <w:b/>
                <w:color w:val="000000"/>
                <w:sz w:val="21"/>
              </w:rPr>
              <w:t xml:space="preserve">  成交供应商负责建立应急响应机制，为军休人员提供应急帮扶服务（如突发疾病、意外事件等的紧急联络、协助送医等）；同时根据采购人要求，提供临时性、专项性服务保障任务。</w:t>
            </w:r>
          </w:p>
          <w:p w14:paraId="1490A0D6">
            <w:pPr>
              <w:pStyle w:val="4"/>
              <w:jc w:val="both"/>
              <w:rPr>
                <w:rFonts w:hint="eastAsia" w:ascii="仿宋_GB2312" w:hAnsi="仿宋_GB2312" w:eastAsia="仿宋_GB2312" w:cs="仿宋_GB2312"/>
                <w:b/>
                <w:color w:val="000000"/>
                <w:sz w:val="21"/>
              </w:rPr>
            </w:pPr>
          </w:p>
          <w:p w14:paraId="5E200915">
            <w:pPr>
              <w:pStyle w:val="4"/>
              <w:jc w:val="both"/>
              <w:rPr>
                <w:rFonts w:hint="eastAsia" w:ascii="仿宋_GB2312" w:hAnsi="仿宋_GB2312" w:eastAsia="仿宋_GB2312" w:cs="仿宋_GB2312"/>
                <w:b/>
                <w:color w:val="000000"/>
                <w:sz w:val="21"/>
              </w:rPr>
            </w:pPr>
            <w:r>
              <w:rPr>
                <w:rFonts w:hint="eastAsia" w:ascii="仿宋_GB2312" w:hAnsi="仿宋_GB2312" w:eastAsia="仿宋_GB2312" w:cs="仿宋_GB2312"/>
                <w:b/>
                <w:color w:val="000000"/>
                <w:sz w:val="21"/>
              </w:rPr>
              <w:t xml:space="preserve"> 6.医疗保健与健康康养服务</w:t>
            </w:r>
          </w:p>
          <w:p w14:paraId="4071A4AC">
            <w:pPr>
              <w:pStyle w:val="4"/>
              <w:jc w:val="both"/>
              <w:rPr>
                <w:rFonts w:hint="eastAsia" w:ascii="仿宋_GB2312" w:hAnsi="仿宋_GB2312" w:eastAsia="仿宋_GB2312" w:cs="仿宋_GB2312"/>
                <w:b/>
                <w:color w:val="000000"/>
                <w:sz w:val="21"/>
              </w:rPr>
            </w:pPr>
          </w:p>
          <w:p w14:paraId="1B2B7DAB">
            <w:pPr>
              <w:pStyle w:val="4"/>
              <w:jc w:val="both"/>
              <w:rPr>
                <w:rFonts w:hint="eastAsia" w:ascii="仿宋_GB2312" w:hAnsi="仿宋_GB2312" w:eastAsia="仿宋_GB2312" w:cs="仿宋_GB2312"/>
                <w:b/>
                <w:color w:val="000000"/>
                <w:sz w:val="21"/>
              </w:rPr>
            </w:pPr>
            <w:r>
              <w:rPr>
                <w:rFonts w:hint="eastAsia" w:ascii="仿宋_GB2312" w:hAnsi="仿宋_GB2312" w:eastAsia="仿宋_GB2312" w:cs="仿宋_GB2312"/>
                <w:b/>
                <w:color w:val="000000"/>
                <w:sz w:val="21"/>
              </w:rPr>
              <w:t xml:space="preserve">  成交供应商负责提供医疗保健辅助服务，包括：协助组织军休人员健康体检、建立健康档案、开展健康知识宣传、协调医疗资源、提供日常保健咨询及康养活动保障等。</w:t>
            </w:r>
          </w:p>
          <w:p w14:paraId="4878BE1A">
            <w:pPr>
              <w:pStyle w:val="4"/>
              <w:jc w:val="both"/>
              <w:rPr>
                <w:rFonts w:hint="eastAsia" w:ascii="仿宋_GB2312" w:hAnsi="仿宋_GB2312" w:eastAsia="仿宋_GB2312" w:cs="仿宋_GB2312"/>
                <w:b/>
                <w:color w:val="000000"/>
                <w:sz w:val="21"/>
              </w:rPr>
            </w:pPr>
          </w:p>
          <w:p w14:paraId="08892983">
            <w:pPr>
              <w:pStyle w:val="4"/>
              <w:jc w:val="both"/>
              <w:rPr>
                <w:rFonts w:hint="eastAsia" w:ascii="仿宋_GB2312" w:hAnsi="仿宋_GB2312" w:eastAsia="仿宋_GB2312" w:cs="仿宋_GB2312"/>
                <w:b/>
                <w:color w:val="000000"/>
                <w:sz w:val="21"/>
              </w:rPr>
            </w:pPr>
            <w:r>
              <w:rPr>
                <w:rFonts w:hint="eastAsia" w:ascii="仿宋_GB2312" w:hAnsi="仿宋_GB2312" w:eastAsia="仿宋_GB2312" w:cs="仿宋_GB2312"/>
                <w:b/>
                <w:color w:val="000000"/>
                <w:sz w:val="21"/>
              </w:rPr>
              <w:t xml:space="preserve"> 7.其它辅助保障服务</w:t>
            </w:r>
          </w:p>
          <w:p w14:paraId="08E32744">
            <w:pPr>
              <w:pStyle w:val="4"/>
              <w:jc w:val="both"/>
              <w:rPr>
                <w:rFonts w:hint="eastAsia" w:ascii="仿宋_GB2312" w:hAnsi="仿宋_GB2312" w:eastAsia="仿宋_GB2312" w:cs="仿宋_GB2312"/>
                <w:b/>
                <w:color w:val="000000"/>
                <w:sz w:val="21"/>
              </w:rPr>
            </w:pPr>
          </w:p>
          <w:p w14:paraId="64EC73EF">
            <w:pPr>
              <w:pStyle w:val="4"/>
              <w:jc w:val="both"/>
              <w:rPr>
                <w:rFonts w:hint="eastAsia" w:ascii="仿宋_GB2312" w:hAnsi="仿宋_GB2312" w:eastAsia="仿宋_GB2312" w:cs="仿宋_GB2312"/>
                <w:b/>
                <w:color w:val="000000"/>
                <w:sz w:val="21"/>
              </w:rPr>
            </w:pPr>
            <w:r>
              <w:rPr>
                <w:rFonts w:hint="eastAsia" w:ascii="仿宋_GB2312" w:hAnsi="仿宋_GB2312" w:eastAsia="仿宋_GB2312" w:cs="仿宋_GB2312"/>
                <w:b/>
                <w:color w:val="000000"/>
                <w:sz w:val="21"/>
              </w:rPr>
              <w:t xml:space="preserve">  成交供应商根据采购人军休服务保障工作实际需要，弥补保障力量不足，提供其它必要的辅助保障服务，具体以采购人书面通知或双方协商确认为准。</w:t>
            </w:r>
          </w:p>
          <w:p w14:paraId="3B63C6E8">
            <w:pPr>
              <w:pStyle w:val="4"/>
              <w:jc w:val="both"/>
              <w:rPr>
                <w:rFonts w:hint="eastAsia" w:ascii="仿宋_GB2312" w:hAnsi="仿宋_GB2312" w:eastAsia="仿宋_GB2312" w:cs="仿宋_GB2312"/>
                <w:b/>
                <w:color w:val="000000"/>
                <w:sz w:val="21"/>
              </w:rPr>
            </w:pPr>
          </w:p>
          <w:p w14:paraId="70A3958F">
            <w:pPr>
              <w:pStyle w:val="4"/>
              <w:jc w:val="both"/>
              <w:rPr>
                <w:rFonts w:hint="eastAsia" w:ascii="仿宋_GB2312" w:hAnsi="仿宋_GB2312" w:eastAsia="仿宋_GB2312" w:cs="仿宋_GB2312"/>
                <w:b/>
                <w:color w:val="000000"/>
                <w:sz w:val="21"/>
              </w:rPr>
            </w:pPr>
            <w:r>
              <w:rPr>
                <w:rFonts w:hint="eastAsia" w:ascii="仿宋_GB2312" w:hAnsi="仿宋_GB2312" w:eastAsia="仿宋_GB2312" w:cs="仿宋_GB2312"/>
                <w:b/>
                <w:color w:val="000000"/>
                <w:sz w:val="21"/>
              </w:rPr>
              <w:t xml:space="preserve">  8.服务保障人员配备与管理</w:t>
            </w:r>
          </w:p>
          <w:p w14:paraId="5B4FED66">
            <w:pPr>
              <w:pStyle w:val="4"/>
              <w:jc w:val="both"/>
              <w:rPr>
                <w:rFonts w:hint="eastAsia" w:ascii="仿宋_GB2312" w:hAnsi="仿宋_GB2312" w:eastAsia="仿宋_GB2312" w:cs="仿宋_GB2312"/>
                <w:b/>
                <w:color w:val="000000"/>
                <w:sz w:val="21"/>
              </w:rPr>
            </w:pPr>
          </w:p>
          <w:p w14:paraId="61013451">
            <w:pPr>
              <w:pStyle w:val="4"/>
              <w:jc w:val="both"/>
              <w:rPr>
                <w:rFonts w:hint="eastAsia" w:ascii="仿宋_GB2312" w:hAnsi="仿宋_GB2312" w:eastAsia="仿宋_GB2312" w:cs="仿宋_GB2312"/>
                <w:b/>
                <w:color w:val="000000"/>
                <w:sz w:val="21"/>
              </w:rPr>
            </w:pPr>
            <w:r>
              <w:rPr>
                <w:rFonts w:hint="eastAsia" w:ascii="仿宋_GB2312" w:hAnsi="仿宋_GB2312" w:eastAsia="仿宋_GB2312" w:cs="仿宋_GB2312"/>
                <w:b/>
                <w:color w:val="000000"/>
                <w:sz w:val="21"/>
              </w:rPr>
              <w:t xml:space="preserve">  为完成上述服务内容，乙方须配备足够数量、符合要求的服务保障人员，并负责以下人员管理事务：</w:t>
            </w:r>
          </w:p>
          <w:p w14:paraId="78B19475">
            <w:pPr>
              <w:pStyle w:val="4"/>
              <w:jc w:val="both"/>
              <w:rPr>
                <w:rFonts w:hint="eastAsia" w:ascii="仿宋_GB2312" w:hAnsi="仿宋_GB2312" w:eastAsia="仿宋_GB2312" w:cs="仿宋_GB2312"/>
                <w:b/>
                <w:color w:val="000000"/>
                <w:sz w:val="21"/>
              </w:rPr>
            </w:pPr>
          </w:p>
          <w:p w14:paraId="0C54F25B">
            <w:pPr>
              <w:pStyle w:val="4"/>
              <w:jc w:val="both"/>
              <w:rPr>
                <w:rFonts w:hint="eastAsia" w:ascii="仿宋_GB2312" w:hAnsi="仿宋_GB2312" w:eastAsia="仿宋_GB2312" w:cs="仿宋_GB2312"/>
                <w:b/>
                <w:color w:val="000000"/>
                <w:sz w:val="21"/>
              </w:rPr>
            </w:pPr>
            <w:r>
              <w:rPr>
                <w:rFonts w:hint="eastAsia" w:ascii="仿宋_GB2312" w:hAnsi="仿宋_GB2312" w:eastAsia="仿宋_GB2312" w:cs="仿宋_GB2312"/>
                <w:b/>
                <w:color w:val="000000"/>
                <w:sz w:val="21"/>
              </w:rPr>
              <w:t xml:space="preserve"> 人员管理服务：乙方负责上述人员的入职、离职手续办理、档案管理、劳动关系管理、党团关系管理等；负责工资、社保、住房公积金等福利待遇的发放和缴纳；负责工伤处理；负责代扣代缴个人所得税、培训费、管理费、劳保费及其它相关费用。</w:t>
            </w:r>
          </w:p>
          <w:p w14:paraId="61879AC4">
            <w:pPr>
              <w:pStyle w:val="4"/>
              <w:jc w:val="both"/>
              <w:rPr>
                <w:rFonts w:hint="eastAsia" w:ascii="仿宋_GB2312" w:hAnsi="仿宋_GB2312" w:eastAsia="仿宋_GB2312" w:cs="仿宋_GB2312"/>
                <w:b/>
                <w:color w:val="000000"/>
                <w:sz w:val="21"/>
              </w:rPr>
            </w:pPr>
          </w:p>
          <w:p w14:paraId="168FEA74">
            <w:pPr>
              <w:pStyle w:val="4"/>
              <w:jc w:val="both"/>
            </w:pPr>
            <w:r>
              <w:rPr>
                <w:rFonts w:hint="eastAsia" w:ascii="仿宋_GB2312" w:hAnsi="仿宋_GB2312" w:eastAsia="仿宋_GB2312" w:cs="仿宋_GB2312"/>
                <w:b/>
                <w:color w:val="000000"/>
                <w:sz w:val="21"/>
              </w:rPr>
              <w:t xml:space="preserve">  9、服务人数：16人，其中1、司机6名，2、保障、保洁人员4名， 3、军休工作简报编辑1名，4、宣传人员1名，5、军休保障辅助岗位3名；6、医疗服务人员1名 。根据军休所服务保障需求，若增减人员，双方提前沟通协商。</w:t>
            </w:r>
          </w:p>
        </w:tc>
      </w:tr>
      <w:tr w14:paraId="06C365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01BFF28">
            <w:pPr>
              <w:pStyle w:val="4"/>
            </w:pPr>
            <w:r>
              <w:rPr>
                <w:rFonts w:ascii="仿宋_GB2312" w:hAnsi="仿宋_GB2312" w:eastAsia="仿宋_GB2312" w:cs="仿宋_GB2312"/>
              </w:rPr>
              <w:t>★</w:t>
            </w:r>
          </w:p>
        </w:tc>
        <w:tc>
          <w:tcPr>
            <w:tcW w:w="2769" w:type="dxa"/>
          </w:tcPr>
          <w:p w14:paraId="234E5A01">
            <w:pPr>
              <w:pStyle w:val="4"/>
            </w:pPr>
            <w:r>
              <w:rPr>
                <w:rFonts w:ascii="仿宋_GB2312" w:hAnsi="仿宋_GB2312" w:eastAsia="仿宋_GB2312" w:cs="仿宋_GB2312"/>
              </w:rPr>
              <w:t>2</w:t>
            </w:r>
          </w:p>
        </w:tc>
        <w:tc>
          <w:tcPr>
            <w:tcW w:w="2769" w:type="dxa"/>
          </w:tcPr>
          <w:p w14:paraId="6C5F1F0D">
            <w:pPr>
              <w:pStyle w:val="4"/>
              <w:jc w:val="both"/>
              <w:rPr>
                <w:rFonts w:hint="eastAsia" w:ascii="仿宋_GB2312" w:hAnsi="仿宋_GB2312" w:eastAsia="仿宋_GB2312" w:cs="仿宋_GB2312"/>
                <w:b/>
                <w:color w:val="000000"/>
                <w:sz w:val="21"/>
              </w:rPr>
            </w:pPr>
            <w:r>
              <w:rPr>
                <w:rFonts w:hint="eastAsia" w:ascii="仿宋_GB2312" w:hAnsi="仿宋_GB2312" w:eastAsia="仿宋_GB2312" w:cs="仿宋_GB2312"/>
                <w:b/>
                <w:color w:val="000000"/>
                <w:sz w:val="21"/>
              </w:rPr>
              <w:t>二、服务人员要求</w:t>
            </w:r>
          </w:p>
          <w:p w14:paraId="56753209">
            <w:pPr>
              <w:pStyle w:val="4"/>
              <w:jc w:val="both"/>
              <w:rPr>
                <w:rFonts w:hint="eastAsia" w:ascii="仿宋_GB2312" w:hAnsi="仿宋_GB2312" w:eastAsia="仿宋_GB2312" w:cs="仿宋_GB2312"/>
                <w:b/>
                <w:color w:val="000000"/>
                <w:sz w:val="21"/>
              </w:rPr>
            </w:pPr>
          </w:p>
          <w:p w14:paraId="246FC150">
            <w:pPr>
              <w:pStyle w:val="4"/>
              <w:jc w:val="both"/>
              <w:rPr>
                <w:rFonts w:hint="eastAsia" w:ascii="仿宋_GB2312" w:hAnsi="仿宋_GB2312" w:eastAsia="仿宋_GB2312" w:cs="仿宋_GB2312"/>
                <w:b/>
                <w:color w:val="000000"/>
                <w:sz w:val="21"/>
              </w:rPr>
            </w:pPr>
            <w:r>
              <w:rPr>
                <w:rFonts w:hint="eastAsia" w:ascii="仿宋_GB2312" w:hAnsi="仿宋_GB2312" w:eastAsia="仿宋_GB2312" w:cs="仿宋_GB2312"/>
                <w:b/>
                <w:color w:val="000000"/>
                <w:sz w:val="21"/>
              </w:rPr>
              <w:t xml:space="preserve">  选派的保障服务人员须满足以下条件：</w:t>
            </w:r>
          </w:p>
          <w:p w14:paraId="504F56E0">
            <w:pPr>
              <w:pStyle w:val="4"/>
              <w:jc w:val="both"/>
              <w:rPr>
                <w:rFonts w:hint="eastAsia" w:ascii="仿宋_GB2312" w:hAnsi="仿宋_GB2312" w:eastAsia="仿宋_GB2312" w:cs="仿宋_GB2312"/>
                <w:b/>
                <w:color w:val="000000"/>
                <w:sz w:val="21"/>
              </w:rPr>
            </w:pPr>
          </w:p>
          <w:p w14:paraId="7BC512F8">
            <w:pPr>
              <w:pStyle w:val="4"/>
              <w:jc w:val="both"/>
              <w:rPr>
                <w:rFonts w:hint="eastAsia" w:ascii="仿宋_GB2312" w:hAnsi="仿宋_GB2312" w:eastAsia="仿宋_GB2312" w:cs="仿宋_GB2312"/>
                <w:b/>
                <w:color w:val="000000"/>
                <w:sz w:val="21"/>
              </w:rPr>
            </w:pPr>
            <w:r>
              <w:rPr>
                <w:rFonts w:hint="eastAsia" w:ascii="仿宋_GB2312" w:hAnsi="仿宋_GB2312" w:eastAsia="仿宋_GB2312" w:cs="仿宋_GB2312"/>
                <w:b/>
                <w:color w:val="000000"/>
                <w:sz w:val="21"/>
              </w:rPr>
              <w:t xml:space="preserve"> 1.拥护中国共产党基本路线方针政策，具有良好的职业道德和社会公德，遵纪守法，作风正派，服从安排，并能严格遵守甲方的各项规章制度。</w:t>
            </w:r>
          </w:p>
          <w:p w14:paraId="268FC588">
            <w:pPr>
              <w:pStyle w:val="4"/>
              <w:jc w:val="both"/>
              <w:rPr>
                <w:rFonts w:hint="eastAsia" w:ascii="仿宋_GB2312" w:hAnsi="仿宋_GB2312" w:eastAsia="仿宋_GB2312" w:cs="仿宋_GB2312"/>
                <w:b/>
                <w:color w:val="000000"/>
                <w:sz w:val="21"/>
              </w:rPr>
            </w:pPr>
          </w:p>
          <w:p w14:paraId="5C6505D1">
            <w:pPr>
              <w:pStyle w:val="4"/>
              <w:jc w:val="both"/>
              <w:rPr>
                <w:rFonts w:hint="eastAsia" w:ascii="仿宋_GB2312" w:hAnsi="仿宋_GB2312" w:eastAsia="仿宋_GB2312" w:cs="仿宋_GB2312"/>
                <w:b/>
                <w:color w:val="000000"/>
                <w:sz w:val="21"/>
              </w:rPr>
            </w:pPr>
            <w:r>
              <w:rPr>
                <w:rFonts w:hint="eastAsia" w:ascii="仿宋_GB2312" w:hAnsi="仿宋_GB2312" w:eastAsia="仿宋_GB2312" w:cs="仿宋_GB2312"/>
                <w:b/>
                <w:color w:val="000000"/>
                <w:sz w:val="21"/>
              </w:rPr>
              <w:t xml:space="preserve"> 2.具有适应工作需要的文化知识及岗位所需的专业技术知识和技能，能胜任本岗位工作，责任心强，身心健康。原则上须具备专科及以上学历，年龄原则上在18—60周岁，个别岗位年龄可以适当放宽。</w:t>
            </w:r>
          </w:p>
          <w:p w14:paraId="351543D4">
            <w:pPr>
              <w:pStyle w:val="4"/>
              <w:jc w:val="both"/>
              <w:rPr>
                <w:rFonts w:hint="eastAsia" w:ascii="仿宋_GB2312" w:hAnsi="仿宋_GB2312" w:eastAsia="仿宋_GB2312" w:cs="仿宋_GB2312"/>
                <w:b/>
                <w:color w:val="000000"/>
                <w:sz w:val="21"/>
              </w:rPr>
            </w:pPr>
          </w:p>
          <w:p w14:paraId="48BE0891">
            <w:pPr>
              <w:pStyle w:val="4"/>
              <w:jc w:val="both"/>
              <w:rPr>
                <w:rFonts w:hint="eastAsia" w:ascii="仿宋_GB2312" w:hAnsi="仿宋_GB2312" w:eastAsia="仿宋_GB2312" w:cs="仿宋_GB2312"/>
                <w:b/>
                <w:color w:val="000000"/>
                <w:sz w:val="21"/>
              </w:rPr>
            </w:pPr>
            <w:r>
              <w:rPr>
                <w:rFonts w:hint="eastAsia" w:ascii="仿宋_GB2312" w:hAnsi="仿宋_GB2312" w:eastAsia="仿宋_GB2312" w:cs="仿宋_GB2312"/>
                <w:b/>
                <w:color w:val="000000"/>
                <w:sz w:val="21"/>
              </w:rPr>
              <w:t xml:space="preserve"> 3.没有传染病及精神病等不能控制自己行为能力的疾病病史，且无犯罪记录。</w:t>
            </w:r>
          </w:p>
          <w:p w14:paraId="1F4B3303">
            <w:pPr>
              <w:pStyle w:val="4"/>
              <w:jc w:val="both"/>
              <w:rPr>
                <w:rFonts w:hint="eastAsia" w:ascii="仿宋_GB2312" w:hAnsi="仿宋_GB2312" w:eastAsia="仿宋_GB2312" w:cs="仿宋_GB2312"/>
                <w:b/>
                <w:color w:val="000000"/>
                <w:sz w:val="21"/>
              </w:rPr>
            </w:pPr>
          </w:p>
          <w:p w14:paraId="38D786E3">
            <w:pPr>
              <w:pStyle w:val="4"/>
              <w:jc w:val="both"/>
            </w:pPr>
            <w:r>
              <w:rPr>
                <w:rFonts w:hint="eastAsia" w:ascii="仿宋_GB2312" w:hAnsi="仿宋_GB2312" w:eastAsia="仿宋_GB2312" w:cs="仿宋_GB2312"/>
                <w:b/>
                <w:color w:val="000000"/>
                <w:sz w:val="21"/>
              </w:rPr>
              <w:t xml:space="preserve"> 4.具备从业经验者优先。</w:t>
            </w:r>
          </w:p>
        </w:tc>
      </w:tr>
      <w:tr w14:paraId="0B051A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0DB7721">
            <w:pPr>
              <w:pStyle w:val="4"/>
            </w:pPr>
            <w:r>
              <w:rPr>
                <w:rFonts w:ascii="仿宋_GB2312" w:hAnsi="仿宋_GB2312" w:eastAsia="仿宋_GB2312" w:cs="仿宋_GB2312"/>
              </w:rPr>
              <w:t>★</w:t>
            </w:r>
          </w:p>
        </w:tc>
        <w:tc>
          <w:tcPr>
            <w:tcW w:w="2769" w:type="dxa"/>
          </w:tcPr>
          <w:p w14:paraId="5E4F4D5C">
            <w:pPr>
              <w:pStyle w:val="4"/>
            </w:pPr>
            <w:r>
              <w:rPr>
                <w:rFonts w:ascii="仿宋_GB2312" w:hAnsi="仿宋_GB2312" w:eastAsia="仿宋_GB2312" w:cs="仿宋_GB2312"/>
              </w:rPr>
              <w:t>3</w:t>
            </w:r>
          </w:p>
        </w:tc>
        <w:tc>
          <w:tcPr>
            <w:tcW w:w="2769" w:type="dxa"/>
          </w:tcPr>
          <w:p w14:paraId="7E79DE0A">
            <w:pPr>
              <w:pStyle w:val="4"/>
              <w:jc w:val="both"/>
              <w:rPr>
                <w:rFonts w:hint="eastAsia" w:ascii="仿宋_GB2312" w:hAnsi="仿宋_GB2312" w:eastAsia="仿宋_GB2312" w:cs="仿宋_GB2312"/>
                <w:b/>
                <w:color w:val="000000"/>
                <w:sz w:val="21"/>
              </w:rPr>
            </w:pPr>
            <w:r>
              <w:rPr>
                <w:rFonts w:hint="eastAsia" w:ascii="仿宋_GB2312" w:hAnsi="仿宋_GB2312" w:eastAsia="仿宋_GB2312" w:cs="仿宋_GB2312"/>
                <w:b/>
                <w:color w:val="000000"/>
                <w:sz w:val="21"/>
              </w:rPr>
              <w:t>三、服务要求</w:t>
            </w:r>
          </w:p>
          <w:p w14:paraId="493F1251">
            <w:pPr>
              <w:pStyle w:val="4"/>
              <w:jc w:val="both"/>
              <w:rPr>
                <w:rFonts w:hint="eastAsia" w:ascii="仿宋_GB2312" w:hAnsi="仿宋_GB2312" w:eastAsia="仿宋_GB2312" w:cs="仿宋_GB2312"/>
                <w:b/>
                <w:color w:val="000000"/>
                <w:sz w:val="21"/>
              </w:rPr>
            </w:pPr>
          </w:p>
          <w:p w14:paraId="6486EEAD">
            <w:pPr>
              <w:pStyle w:val="4"/>
              <w:jc w:val="both"/>
              <w:rPr>
                <w:rFonts w:hint="eastAsia" w:ascii="仿宋_GB2312" w:hAnsi="仿宋_GB2312" w:eastAsia="仿宋_GB2312" w:cs="仿宋_GB2312"/>
                <w:b/>
                <w:color w:val="000000"/>
                <w:sz w:val="21"/>
              </w:rPr>
            </w:pPr>
            <w:r>
              <w:rPr>
                <w:rFonts w:hint="eastAsia" w:ascii="仿宋_GB2312" w:hAnsi="仿宋_GB2312" w:eastAsia="仿宋_GB2312" w:cs="仿宋_GB2312"/>
                <w:b/>
                <w:color w:val="000000"/>
                <w:sz w:val="21"/>
              </w:rPr>
              <w:t xml:space="preserve">  1.成交供应商应按采购人要求提供相应的军休服务保障，并按照采购人所需岗位性质，向其选派的服务保障人员支付合理的薪酬待遇。</w:t>
            </w:r>
          </w:p>
          <w:p w14:paraId="0798AD08">
            <w:pPr>
              <w:pStyle w:val="4"/>
              <w:jc w:val="both"/>
              <w:rPr>
                <w:rFonts w:hint="eastAsia" w:ascii="仿宋_GB2312" w:hAnsi="仿宋_GB2312" w:eastAsia="仿宋_GB2312" w:cs="仿宋_GB2312"/>
                <w:b/>
                <w:color w:val="000000"/>
                <w:sz w:val="21"/>
              </w:rPr>
            </w:pPr>
          </w:p>
          <w:p w14:paraId="3C11EA04">
            <w:pPr>
              <w:pStyle w:val="4"/>
              <w:jc w:val="both"/>
              <w:rPr>
                <w:rFonts w:hint="eastAsia" w:ascii="仿宋_GB2312" w:hAnsi="仿宋_GB2312" w:eastAsia="仿宋_GB2312" w:cs="仿宋_GB2312"/>
                <w:b/>
                <w:color w:val="000000"/>
                <w:sz w:val="21"/>
              </w:rPr>
            </w:pPr>
            <w:r>
              <w:rPr>
                <w:rFonts w:hint="eastAsia" w:ascii="仿宋_GB2312" w:hAnsi="仿宋_GB2312" w:eastAsia="仿宋_GB2312" w:cs="仿宋_GB2312"/>
                <w:b/>
                <w:color w:val="000000"/>
                <w:sz w:val="21"/>
              </w:rPr>
              <w:t xml:space="preserve">  2.成交供应商负责收取、审核服务保障人员提交的入职资料，及时办理劳动合同的备案手续。</w:t>
            </w:r>
          </w:p>
          <w:p w14:paraId="0A400591">
            <w:pPr>
              <w:pStyle w:val="4"/>
              <w:jc w:val="both"/>
              <w:rPr>
                <w:rFonts w:hint="eastAsia" w:ascii="仿宋_GB2312" w:hAnsi="仿宋_GB2312" w:eastAsia="仿宋_GB2312" w:cs="仿宋_GB2312"/>
                <w:b/>
                <w:color w:val="000000"/>
                <w:sz w:val="21"/>
              </w:rPr>
            </w:pPr>
          </w:p>
          <w:p w14:paraId="4A610B01">
            <w:pPr>
              <w:pStyle w:val="4"/>
              <w:jc w:val="both"/>
              <w:rPr>
                <w:rFonts w:hint="eastAsia" w:ascii="仿宋_GB2312" w:hAnsi="仿宋_GB2312" w:eastAsia="仿宋_GB2312" w:cs="仿宋_GB2312"/>
                <w:b/>
                <w:color w:val="000000"/>
                <w:sz w:val="21"/>
              </w:rPr>
            </w:pPr>
            <w:r>
              <w:rPr>
                <w:rFonts w:hint="eastAsia" w:ascii="仿宋_GB2312" w:hAnsi="仿宋_GB2312" w:eastAsia="仿宋_GB2312" w:cs="仿宋_GB2312"/>
                <w:b/>
                <w:color w:val="000000"/>
                <w:sz w:val="21"/>
              </w:rPr>
              <w:t xml:space="preserve">  3.成交供应商负责办理服务保障人员的聘用及离职手续、续签、解除手续等合法的用工手续。</w:t>
            </w:r>
          </w:p>
          <w:p w14:paraId="6F1E6BAA">
            <w:pPr>
              <w:pStyle w:val="4"/>
              <w:jc w:val="both"/>
              <w:rPr>
                <w:rFonts w:hint="eastAsia" w:ascii="仿宋_GB2312" w:hAnsi="仿宋_GB2312" w:eastAsia="仿宋_GB2312" w:cs="仿宋_GB2312"/>
                <w:b/>
                <w:color w:val="000000"/>
                <w:sz w:val="21"/>
              </w:rPr>
            </w:pPr>
          </w:p>
          <w:p w14:paraId="2387848E">
            <w:pPr>
              <w:pStyle w:val="4"/>
              <w:jc w:val="both"/>
              <w:rPr>
                <w:rFonts w:hint="eastAsia" w:ascii="仿宋_GB2312" w:hAnsi="仿宋_GB2312" w:eastAsia="仿宋_GB2312" w:cs="仿宋_GB2312"/>
                <w:b/>
                <w:color w:val="000000"/>
                <w:sz w:val="21"/>
              </w:rPr>
            </w:pPr>
            <w:r>
              <w:rPr>
                <w:rFonts w:hint="eastAsia" w:ascii="仿宋_GB2312" w:hAnsi="仿宋_GB2312" w:eastAsia="仿宋_GB2312" w:cs="仿宋_GB2312"/>
                <w:b/>
                <w:color w:val="000000"/>
                <w:sz w:val="21"/>
              </w:rPr>
              <w:t xml:space="preserve">  4.成交供应商须每月为其选派的服务保障人员缴纳当月社保费，并为离职人员及时办理社保停缴手续。</w:t>
            </w:r>
          </w:p>
          <w:p w14:paraId="6E816FA9">
            <w:pPr>
              <w:pStyle w:val="4"/>
              <w:jc w:val="both"/>
              <w:rPr>
                <w:rFonts w:hint="eastAsia" w:ascii="仿宋_GB2312" w:hAnsi="仿宋_GB2312" w:eastAsia="仿宋_GB2312" w:cs="仿宋_GB2312"/>
                <w:b/>
                <w:color w:val="000000"/>
                <w:sz w:val="21"/>
              </w:rPr>
            </w:pPr>
          </w:p>
          <w:p w14:paraId="3C5D5B62">
            <w:pPr>
              <w:pStyle w:val="4"/>
              <w:jc w:val="both"/>
              <w:rPr>
                <w:rFonts w:hint="eastAsia" w:ascii="仿宋_GB2312" w:hAnsi="仿宋_GB2312" w:eastAsia="仿宋_GB2312" w:cs="仿宋_GB2312"/>
                <w:b/>
                <w:color w:val="000000"/>
                <w:sz w:val="21"/>
              </w:rPr>
            </w:pPr>
            <w:r>
              <w:rPr>
                <w:rFonts w:hint="eastAsia" w:ascii="仿宋_GB2312" w:hAnsi="仿宋_GB2312" w:eastAsia="仿宋_GB2312" w:cs="仿宋_GB2312"/>
                <w:b/>
                <w:color w:val="000000"/>
                <w:sz w:val="21"/>
              </w:rPr>
              <w:t xml:space="preserve">  5.成交供应商须为服务保障人员购买团体保险，并负责办理工伤认定申请手续，协助处理工伤医疗费的报销手续及劳动能力鉴定申请，积极办理工伤伤残补助金申请。</w:t>
            </w:r>
          </w:p>
          <w:p w14:paraId="3649B867">
            <w:pPr>
              <w:pStyle w:val="4"/>
              <w:jc w:val="both"/>
              <w:rPr>
                <w:rFonts w:hint="eastAsia" w:ascii="仿宋_GB2312" w:hAnsi="仿宋_GB2312" w:eastAsia="仿宋_GB2312" w:cs="仿宋_GB2312"/>
                <w:b/>
                <w:color w:val="000000"/>
                <w:sz w:val="21"/>
              </w:rPr>
            </w:pPr>
          </w:p>
          <w:p w14:paraId="06EB3C2F">
            <w:pPr>
              <w:pStyle w:val="4"/>
              <w:jc w:val="both"/>
            </w:pPr>
            <w:r>
              <w:rPr>
                <w:rFonts w:hint="eastAsia" w:ascii="仿宋_GB2312" w:hAnsi="仿宋_GB2312" w:eastAsia="仿宋_GB2312" w:cs="仿宋_GB2312"/>
                <w:b/>
                <w:color w:val="000000"/>
                <w:sz w:val="21"/>
              </w:rPr>
              <w:t xml:space="preserve">  6.成交供应商须制定合法的规章制度，并对服务保障人员进行有效管理，督促其遵守法律法规和甲方的规章制度。</w:t>
            </w:r>
            <w:bookmarkStart w:id="0" w:name="_GoBack"/>
            <w:bookmarkEnd w:id="0"/>
          </w:p>
        </w:tc>
      </w:tr>
    </w:tbl>
    <w:p w14:paraId="6C8C97EF">
      <w:pPr>
        <w:pStyle w:val="4"/>
      </w:pPr>
      <w:r>
        <w:rPr>
          <w:rFonts w:ascii="仿宋_GB2312" w:hAnsi="仿宋_GB2312" w:eastAsia="仿宋_GB2312" w:cs="仿宋_GB2312"/>
        </w:rPr>
        <w:t>7、供应商一般资格要求</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0B3147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08EBB3A">
            <w:pPr>
              <w:pStyle w:val="4"/>
            </w:pPr>
            <w:r>
              <w:rPr>
                <w:rFonts w:ascii="仿宋_GB2312" w:hAnsi="仿宋_GB2312" w:eastAsia="仿宋_GB2312" w:cs="仿宋_GB2312"/>
              </w:rPr>
              <w:t>序号</w:t>
            </w:r>
          </w:p>
        </w:tc>
        <w:tc>
          <w:tcPr>
            <w:tcW w:w="2769" w:type="dxa"/>
          </w:tcPr>
          <w:p w14:paraId="269C9D0D">
            <w:pPr>
              <w:pStyle w:val="4"/>
            </w:pPr>
            <w:r>
              <w:rPr>
                <w:rFonts w:ascii="仿宋_GB2312" w:hAnsi="仿宋_GB2312" w:eastAsia="仿宋_GB2312" w:cs="仿宋_GB2312"/>
              </w:rPr>
              <w:t>资格要求名称</w:t>
            </w:r>
          </w:p>
        </w:tc>
        <w:tc>
          <w:tcPr>
            <w:tcW w:w="2769" w:type="dxa"/>
          </w:tcPr>
          <w:p w14:paraId="3249F23F">
            <w:pPr>
              <w:pStyle w:val="4"/>
            </w:pPr>
            <w:r>
              <w:rPr>
                <w:rFonts w:ascii="仿宋_GB2312" w:hAnsi="仿宋_GB2312" w:eastAsia="仿宋_GB2312" w:cs="仿宋_GB2312"/>
              </w:rPr>
              <w:t>资格要求详细说明</w:t>
            </w:r>
          </w:p>
        </w:tc>
      </w:tr>
      <w:tr w14:paraId="522831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493E470">
            <w:pPr>
              <w:pStyle w:val="4"/>
            </w:pPr>
            <w:r>
              <w:rPr>
                <w:rFonts w:ascii="仿宋_GB2312" w:hAnsi="仿宋_GB2312" w:eastAsia="仿宋_GB2312" w:cs="仿宋_GB2312"/>
              </w:rPr>
              <w:t>1</w:t>
            </w:r>
          </w:p>
        </w:tc>
        <w:tc>
          <w:tcPr>
            <w:tcW w:w="2769" w:type="dxa"/>
          </w:tcPr>
          <w:p w14:paraId="104224EB">
            <w:pPr>
              <w:pStyle w:val="4"/>
            </w:pPr>
            <w:r>
              <w:rPr>
                <w:rFonts w:ascii="仿宋_GB2312" w:hAnsi="仿宋_GB2312" w:eastAsia="仿宋_GB2312" w:cs="仿宋_GB2312"/>
              </w:rPr>
              <w:t>供应商应具备《中华人民共和国政府采购法》第二十二条规定的条件</w:t>
            </w:r>
          </w:p>
        </w:tc>
        <w:tc>
          <w:tcPr>
            <w:tcW w:w="2769" w:type="dxa"/>
          </w:tcPr>
          <w:p w14:paraId="245CC6D6">
            <w:pPr>
              <w:pStyle w:val="4"/>
            </w:pPr>
            <w:r>
              <w:rPr>
                <w:rFonts w:ascii="仿宋_GB2312" w:hAnsi="仿宋_GB2312" w:eastAsia="仿宋_GB2312" w:cs="仿宋_GB2312"/>
              </w:rPr>
              <w:t>供应商需在项目电子化交易系统中按要求填写《投标函》完成承诺并进行电子签章。</w:t>
            </w:r>
          </w:p>
        </w:tc>
      </w:tr>
      <w:tr w14:paraId="265049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293A994">
            <w:pPr>
              <w:pStyle w:val="4"/>
            </w:pPr>
            <w:r>
              <w:rPr>
                <w:rFonts w:ascii="仿宋_GB2312" w:hAnsi="仿宋_GB2312" w:eastAsia="仿宋_GB2312" w:cs="仿宋_GB2312"/>
              </w:rPr>
              <w:t>2</w:t>
            </w:r>
          </w:p>
        </w:tc>
        <w:tc>
          <w:tcPr>
            <w:tcW w:w="2769" w:type="dxa"/>
          </w:tcPr>
          <w:p w14:paraId="37573130">
            <w:pPr>
              <w:pStyle w:val="4"/>
            </w:pPr>
            <w:r>
              <w:rPr>
                <w:rFonts w:ascii="仿宋_GB2312" w:hAnsi="仿宋_GB2312" w:eastAsia="仿宋_GB2312" w:cs="仿宋_GB2312"/>
              </w:rPr>
              <w:t>供应商应提供健全的财务会计制度的证明材料；</w:t>
            </w:r>
          </w:p>
        </w:tc>
        <w:tc>
          <w:tcPr>
            <w:tcW w:w="2769" w:type="dxa"/>
          </w:tcPr>
          <w:p w14:paraId="33AEEC71">
            <w:pPr>
              <w:pStyle w:val="4"/>
            </w:pPr>
            <w:r>
              <w:rPr>
                <w:rFonts w:ascii="仿宋_GB2312" w:hAnsi="仿宋_GB2312" w:eastAsia="仿宋_GB2312" w:cs="仿宋_GB2312"/>
              </w:rPr>
              <w:t>供应商需在项目电子化交易系统中按要求上传相应证明文件并进行电子签章。</w:t>
            </w:r>
          </w:p>
        </w:tc>
      </w:tr>
      <w:tr w14:paraId="5387C8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0BCD674">
            <w:pPr>
              <w:pStyle w:val="4"/>
            </w:pPr>
            <w:r>
              <w:rPr>
                <w:rFonts w:ascii="仿宋_GB2312" w:hAnsi="仿宋_GB2312" w:eastAsia="仿宋_GB2312" w:cs="仿宋_GB2312"/>
              </w:rPr>
              <w:t>3</w:t>
            </w:r>
          </w:p>
        </w:tc>
        <w:tc>
          <w:tcPr>
            <w:tcW w:w="2769" w:type="dxa"/>
          </w:tcPr>
          <w:p w14:paraId="381B139D">
            <w:pPr>
              <w:pStyle w:val="4"/>
            </w:pPr>
            <w:r>
              <w:rPr>
                <w:rFonts w:ascii="仿宋_GB2312" w:hAnsi="仿宋_GB2312" w:eastAsia="仿宋_GB2312" w:cs="仿宋_GB2312"/>
              </w:rPr>
              <w:t>单位负责人为同一人或者存在直接控股、管理关系的不同供应商不得参加同一合同项下的政府采购活动； 为本项目提供整体设计、规范编制或者项目管理、监理、检测等服务的供应商，不得再参加该采购项目的其他采购活动。</w:t>
            </w:r>
          </w:p>
        </w:tc>
        <w:tc>
          <w:tcPr>
            <w:tcW w:w="2769" w:type="dxa"/>
          </w:tcPr>
          <w:p w14:paraId="53F33720">
            <w:pPr>
              <w:pStyle w:val="4"/>
            </w:pPr>
            <w:r>
              <w:rPr>
                <w:rFonts w:ascii="仿宋_GB2312" w:hAnsi="仿宋_GB2312" w:eastAsia="仿宋_GB2312" w:cs="仿宋_GB2312"/>
              </w:rPr>
              <w:t>供应商需在项目电子化交易系统中按要求填写《投标函》完成承诺并进行电子签章。</w:t>
            </w:r>
          </w:p>
        </w:tc>
      </w:tr>
    </w:tbl>
    <w:p w14:paraId="2F0B4F13">
      <w:pPr>
        <w:pStyle w:val="4"/>
      </w:pPr>
      <w:r>
        <w:rPr>
          <w:rFonts w:ascii="仿宋_GB2312" w:hAnsi="仿宋_GB2312" w:eastAsia="仿宋_GB2312" w:cs="仿宋_GB2312"/>
        </w:rPr>
        <w:t>8、供应商特殊资格要求</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89"/>
        <w:gridCol w:w="1954"/>
        <w:gridCol w:w="5863"/>
      </w:tblGrid>
      <w:tr w14:paraId="0FA1F7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89" w:type="dxa"/>
          </w:tcPr>
          <w:p w14:paraId="6EACA41F">
            <w:pPr>
              <w:pStyle w:val="4"/>
            </w:pPr>
            <w:r>
              <w:rPr>
                <w:rFonts w:ascii="仿宋_GB2312" w:hAnsi="仿宋_GB2312" w:eastAsia="仿宋_GB2312" w:cs="仿宋_GB2312"/>
              </w:rPr>
              <w:t>序号</w:t>
            </w:r>
          </w:p>
        </w:tc>
        <w:tc>
          <w:tcPr>
            <w:tcW w:w="1954" w:type="dxa"/>
          </w:tcPr>
          <w:p w14:paraId="35A4C795">
            <w:pPr>
              <w:pStyle w:val="4"/>
            </w:pPr>
            <w:r>
              <w:rPr>
                <w:rFonts w:ascii="仿宋_GB2312" w:hAnsi="仿宋_GB2312" w:eastAsia="仿宋_GB2312" w:cs="仿宋_GB2312"/>
              </w:rPr>
              <w:t>资格要求名称</w:t>
            </w:r>
          </w:p>
        </w:tc>
        <w:tc>
          <w:tcPr>
            <w:tcW w:w="5863" w:type="dxa"/>
          </w:tcPr>
          <w:p w14:paraId="2252B53A">
            <w:pPr>
              <w:pStyle w:val="4"/>
            </w:pPr>
            <w:r>
              <w:rPr>
                <w:rFonts w:ascii="仿宋_GB2312" w:hAnsi="仿宋_GB2312" w:eastAsia="仿宋_GB2312" w:cs="仿宋_GB2312"/>
              </w:rPr>
              <w:t>资格要求详细说明</w:t>
            </w:r>
          </w:p>
        </w:tc>
      </w:tr>
      <w:tr w14:paraId="67D379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3"/>
          </w:tcPr>
          <w:p w14:paraId="708A5244">
            <w:pPr>
              <w:pStyle w:val="4"/>
            </w:pPr>
            <w:r>
              <w:rPr>
                <w:rFonts w:ascii="仿宋_GB2312" w:hAnsi="仿宋_GB2312" w:eastAsia="仿宋_GB2312" w:cs="仿宋_GB2312"/>
              </w:rPr>
              <w:t>无</w:t>
            </w:r>
          </w:p>
        </w:tc>
      </w:tr>
    </w:tbl>
    <w:p w14:paraId="2D06AD25">
      <w:pPr>
        <w:pStyle w:val="4"/>
      </w:pPr>
      <w:r>
        <w:rPr>
          <w:rFonts w:ascii="仿宋_GB2312" w:hAnsi="仿宋_GB2312" w:eastAsia="仿宋_GB2312" w:cs="仿宋_GB2312"/>
        </w:rPr>
        <w:t>9、分包的评审条款</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384"/>
      </w:tblGrid>
      <w:tr w14:paraId="1F434A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76400F2A">
            <w:pPr>
              <w:pStyle w:val="4"/>
            </w:pPr>
            <w:r>
              <w:rPr>
                <w:rFonts w:ascii="仿宋_GB2312" w:hAnsi="仿宋_GB2312" w:eastAsia="仿宋_GB2312" w:cs="仿宋_GB2312"/>
              </w:rPr>
              <w:t>评审项编号</w:t>
            </w:r>
          </w:p>
        </w:tc>
        <w:tc>
          <w:tcPr>
            <w:tcW w:w="1384" w:type="dxa"/>
          </w:tcPr>
          <w:p w14:paraId="6E08DEA1">
            <w:pPr>
              <w:pStyle w:val="4"/>
            </w:pPr>
            <w:r>
              <w:rPr>
                <w:rFonts w:ascii="仿宋_GB2312" w:hAnsi="仿宋_GB2312" w:eastAsia="仿宋_GB2312" w:cs="仿宋_GB2312"/>
              </w:rPr>
              <w:t>一级评审项</w:t>
            </w:r>
          </w:p>
        </w:tc>
        <w:tc>
          <w:tcPr>
            <w:tcW w:w="1384" w:type="dxa"/>
          </w:tcPr>
          <w:p w14:paraId="43822C10">
            <w:pPr>
              <w:pStyle w:val="4"/>
            </w:pPr>
            <w:r>
              <w:rPr>
                <w:rFonts w:ascii="仿宋_GB2312" w:hAnsi="仿宋_GB2312" w:eastAsia="仿宋_GB2312" w:cs="仿宋_GB2312"/>
              </w:rPr>
              <w:t>二级评审项</w:t>
            </w:r>
          </w:p>
        </w:tc>
        <w:tc>
          <w:tcPr>
            <w:tcW w:w="1384" w:type="dxa"/>
          </w:tcPr>
          <w:p w14:paraId="08A21A84">
            <w:pPr>
              <w:pStyle w:val="4"/>
            </w:pPr>
            <w:r>
              <w:rPr>
                <w:rFonts w:ascii="仿宋_GB2312" w:hAnsi="仿宋_GB2312" w:eastAsia="仿宋_GB2312" w:cs="仿宋_GB2312"/>
              </w:rPr>
              <w:t>详细要求</w:t>
            </w:r>
          </w:p>
        </w:tc>
        <w:tc>
          <w:tcPr>
            <w:tcW w:w="1384" w:type="dxa"/>
          </w:tcPr>
          <w:p w14:paraId="335EDF50">
            <w:pPr>
              <w:pStyle w:val="4"/>
            </w:pPr>
            <w:r>
              <w:rPr>
                <w:rFonts w:ascii="仿宋_GB2312" w:hAnsi="仿宋_GB2312" w:eastAsia="仿宋_GB2312" w:cs="仿宋_GB2312"/>
              </w:rPr>
              <w:t>分值</w:t>
            </w:r>
          </w:p>
        </w:tc>
        <w:tc>
          <w:tcPr>
            <w:tcW w:w="1384" w:type="dxa"/>
          </w:tcPr>
          <w:p w14:paraId="3DFE548B">
            <w:pPr>
              <w:pStyle w:val="4"/>
            </w:pPr>
            <w:r>
              <w:rPr>
                <w:rFonts w:ascii="仿宋_GB2312" w:hAnsi="仿宋_GB2312" w:eastAsia="仿宋_GB2312" w:cs="仿宋_GB2312"/>
              </w:rPr>
              <w:t>客观评审项</w:t>
            </w:r>
          </w:p>
        </w:tc>
      </w:tr>
      <w:tr w14:paraId="6E19B9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6237FB6B">
            <w:pPr>
              <w:pStyle w:val="4"/>
            </w:pPr>
            <w:r>
              <w:rPr>
                <w:rFonts w:ascii="仿宋_GB2312" w:hAnsi="仿宋_GB2312" w:eastAsia="仿宋_GB2312" w:cs="仿宋_GB2312"/>
              </w:rPr>
              <w:t>1</w:t>
            </w:r>
          </w:p>
        </w:tc>
        <w:tc>
          <w:tcPr>
            <w:tcW w:w="1384" w:type="dxa"/>
          </w:tcPr>
          <w:p w14:paraId="5315F752">
            <w:pPr>
              <w:pStyle w:val="4"/>
            </w:pPr>
            <w:r>
              <w:rPr>
                <w:rFonts w:ascii="仿宋_GB2312" w:hAnsi="仿宋_GB2312" w:eastAsia="仿宋_GB2312" w:cs="仿宋_GB2312"/>
              </w:rPr>
              <w:t>详细评审</w:t>
            </w:r>
          </w:p>
        </w:tc>
        <w:tc>
          <w:tcPr>
            <w:tcW w:w="1384" w:type="dxa"/>
          </w:tcPr>
          <w:p w14:paraId="336FB415">
            <w:pPr>
              <w:pStyle w:val="4"/>
            </w:pPr>
            <w:r>
              <w:rPr>
                <w:rFonts w:ascii="仿宋_GB2312" w:hAnsi="仿宋_GB2312" w:eastAsia="仿宋_GB2312" w:cs="仿宋_GB2312"/>
              </w:rPr>
              <w:t>需求分析</w:t>
            </w:r>
          </w:p>
        </w:tc>
        <w:tc>
          <w:tcPr>
            <w:tcW w:w="1384" w:type="dxa"/>
          </w:tcPr>
          <w:p w14:paraId="1A567A12">
            <w:pPr>
              <w:pStyle w:val="4"/>
            </w:pPr>
            <w:r>
              <w:rPr>
                <w:rFonts w:ascii="仿宋_GB2312" w:hAnsi="仿宋_GB2312" w:eastAsia="仿宋_GB2312" w:cs="仿宋_GB2312"/>
              </w:rPr>
              <w:t>1、评审内容：①项目内容及概况了解和分析；②现状概况、工作内容理解与分析；③本项目重点难点分析并提出解决措施。 2、评审标准： 完整性：内容须全面，对评审内容中的各项要求有详细描述； 可实施性：切合本项目实际情况，实施步骤清晰、合理； 针对性：方案能够紧扣项目实际情况，内容科学合理。 3、赋分标准（满分12分） ①项目内容及概况了解和分析：每完全满足一个评审标准得1分，基本满足一个评审标准得0.5分，不满足得0分，满分3分； ②现状概况、工作内容理解与分析：每完全满足一个评审标准得1.5分，基本满足一个评审标准得1分，部分满足一个评审标准得0.5分，不满足得0分，满分4.5分； ③本项目重点难点分析并提出解决措施：每完全满足一个评审标准得1.5分，基本满足一个评审标准得1分，部分满足一个评审标准得0.5分，不满足得0分，满分4.5分</w:t>
            </w:r>
          </w:p>
        </w:tc>
        <w:tc>
          <w:tcPr>
            <w:tcW w:w="1384" w:type="dxa"/>
          </w:tcPr>
          <w:p w14:paraId="0342C62F">
            <w:pPr>
              <w:pStyle w:val="4"/>
              <w:jc w:val="right"/>
            </w:pPr>
            <w:r>
              <w:rPr>
                <w:rFonts w:ascii="仿宋_GB2312" w:hAnsi="仿宋_GB2312" w:eastAsia="仿宋_GB2312" w:cs="仿宋_GB2312"/>
              </w:rPr>
              <w:t>12.0000</w:t>
            </w:r>
          </w:p>
        </w:tc>
        <w:tc>
          <w:tcPr>
            <w:tcW w:w="1384" w:type="dxa"/>
          </w:tcPr>
          <w:p w14:paraId="23C2BE55">
            <w:pPr>
              <w:pStyle w:val="4"/>
            </w:pPr>
            <w:r>
              <w:rPr>
                <w:rFonts w:ascii="仿宋_GB2312" w:hAnsi="仿宋_GB2312" w:eastAsia="仿宋_GB2312" w:cs="仿宋_GB2312"/>
              </w:rPr>
              <w:t>否</w:t>
            </w:r>
          </w:p>
        </w:tc>
      </w:tr>
      <w:tr w14:paraId="054F57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3F094BF7">
            <w:pPr>
              <w:pStyle w:val="4"/>
            </w:pPr>
            <w:r>
              <w:rPr>
                <w:rFonts w:ascii="仿宋_GB2312" w:hAnsi="仿宋_GB2312" w:eastAsia="仿宋_GB2312" w:cs="仿宋_GB2312"/>
              </w:rPr>
              <w:t>2</w:t>
            </w:r>
          </w:p>
        </w:tc>
        <w:tc>
          <w:tcPr>
            <w:tcW w:w="1384" w:type="dxa"/>
          </w:tcPr>
          <w:p w14:paraId="05276FB8">
            <w:pPr>
              <w:pStyle w:val="4"/>
            </w:pPr>
            <w:r>
              <w:rPr>
                <w:rFonts w:ascii="仿宋_GB2312" w:hAnsi="仿宋_GB2312" w:eastAsia="仿宋_GB2312" w:cs="仿宋_GB2312"/>
              </w:rPr>
              <w:t>详细评审</w:t>
            </w:r>
          </w:p>
        </w:tc>
        <w:tc>
          <w:tcPr>
            <w:tcW w:w="1384" w:type="dxa"/>
          </w:tcPr>
          <w:p w14:paraId="65817E4E">
            <w:pPr>
              <w:pStyle w:val="4"/>
            </w:pPr>
            <w:r>
              <w:rPr>
                <w:rFonts w:ascii="仿宋_GB2312" w:hAnsi="仿宋_GB2312" w:eastAsia="仿宋_GB2312" w:cs="仿宋_GB2312"/>
              </w:rPr>
              <w:t>工作实施方案</w:t>
            </w:r>
          </w:p>
        </w:tc>
        <w:tc>
          <w:tcPr>
            <w:tcW w:w="1384" w:type="dxa"/>
          </w:tcPr>
          <w:p w14:paraId="07649FA1">
            <w:pPr>
              <w:pStyle w:val="4"/>
            </w:pPr>
            <w:r>
              <w:rPr>
                <w:rFonts w:ascii="仿宋_GB2312" w:hAnsi="仿宋_GB2312" w:eastAsia="仿宋_GB2312" w:cs="仿宋_GB2312"/>
              </w:rPr>
              <w:t>1、评审内容：①总体工作思路及工作计划；②具体工作目标及内容；③服务实施细则；④服务质量保障方案；。 2、评审标准： 完整性：内容须全面，对评审内容中的各项要求有详细描述； 可实施性：切合本项目实际情况，实施步骤清晰、合理； 针对性：方案能够紧扣项目实际情况，内容科学合理。 3、赋分标准（满分21分） ①总体工作思路及工作计划：每完全满足一个评审标准得1.5分，基本满足一个评审标准得1分，部分满足一个评审标准得0.5分，不满足得0分，满分4.5分； ②具体工作目标及内容：每完全满足一个评审标准得1.5分，基本满足一个评审标准得1分，部分满足一个评审标准得0.5分，不满足得0分，满分4.5分； ③服务实施细则：每完全满足一个评审标准得2分，基本满足一个评审标准得1分，部分满足一个评审标准得0.5分，不满足得0分，满分6分； ④服务质量保障方案：每完全满足一个评审标准得2分，基本满足一个评审标准得1分，部分满足一个评审标准得0.5分，不满足得0分，满分6分；</w:t>
            </w:r>
          </w:p>
        </w:tc>
        <w:tc>
          <w:tcPr>
            <w:tcW w:w="1384" w:type="dxa"/>
          </w:tcPr>
          <w:p w14:paraId="7E2836EA">
            <w:pPr>
              <w:pStyle w:val="4"/>
              <w:jc w:val="right"/>
            </w:pPr>
            <w:r>
              <w:rPr>
                <w:rFonts w:ascii="仿宋_GB2312" w:hAnsi="仿宋_GB2312" w:eastAsia="仿宋_GB2312" w:cs="仿宋_GB2312"/>
              </w:rPr>
              <w:t>21.0000</w:t>
            </w:r>
          </w:p>
        </w:tc>
        <w:tc>
          <w:tcPr>
            <w:tcW w:w="1384" w:type="dxa"/>
          </w:tcPr>
          <w:p w14:paraId="41882D7B">
            <w:pPr>
              <w:pStyle w:val="4"/>
            </w:pPr>
            <w:r>
              <w:rPr>
                <w:rFonts w:ascii="仿宋_GB2312" w:hAnsi="仿宋_GB2312" w:eastAsia="仿宋_GB2312" w:cs="仿宋_GB2312"/>
              </w:rPr>
              <w:t>否</w:t>
            </w:r>
          </w:p>
        </w:tc>
      </w:tr>
      <w:tr w14:paraId="630D74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08553089">
            <w:pPr>
              <w:pStyle w:val="4"/>
            </w:pPr>
            <w:r>
              <w:rPr>
                <w:rFonts w:ascii="仿宋_GB2312" w:hAnsi="仿宋_GB2312" w:eastAsia="仿宋_GB2312" w:cs="仿宋_GB2312"/>
              </w:rPr>
              <w:t>3</w:t>
            </w:r>
          </w:p>
        </w:tc>
        <w:tc>
          <w:tcPr>
            <w:tcW w:w="1384" w:type="dxa"/>
          </w:tcPr>
          <w:p w14:paraId="24D53E3A">
            <w:pPr>
              <w:pStyle w:val="4"/>
            </w:pPr>
            <w:r>
              <w:rPr>
                <w:rFonts w:ascii="仿宋_GB2312" w:hAnsi="仿宋_GB2312" w:eastAsia="仿宋_GB2312" w:cs="仿宋_GB2312"/>
              </w:rPr>
              <w:t>详细评审</w:t>
            </w:r>
          </w:p>
        </w:tc>
        <w:tc>
          <w:tcPr>
            <w:tcW w:w="1384" w:type="dxa"/>
          </w:tcPr>
          <w:p w14:paraId="30E6F480">
            <w:pPr>
              <w:pStyle w:val="4"/>
            </w:pPr>
            <w:r>
              <w:rPr>
                <w:rFonts w:ascii="仿宋_GB2312" w:hAnsi="仿宋_GB2312" w:eastAsia="仿宋_GB2312" w:cs="仿宋_GB2312"/>
              </w:rPr>
              <w:t>管理制度</w:t>
            </w:r>
          </w:p>
        </w:tc>
        <w:tc>
          <w:tcPr>
            <w:tcW w:w="1384" w:type="dxa"/>
          </w:tcPr>
          <w:p w14:paraId="66AEA53E">
            <w:pPr>
              <w:pStyle w:val="4"/>
            </w:pPr>
            <w:r>
              <w:rPr>
                <w:rFonts w:ascii="仿宋_GB2312" w:hAnsi="仿宋_GB2312" w:eastAsia="仿宋_GB2312" w:cs="仿宋_GB2312"/>
              </w:rPr>
              <w:t>1、评审内容：：①岗位职责：具有岗位工作标准、服务质量标准、现场质量控制体系；②内控制度：管理组织机构、问责机制、监督机制、自查制度； ③人员管理制度：具有员工日常管理办法、请销假制度、奖惩措施、激励机制、仪容仪表制度； ④财务管理制度；⑤档案及社保管理方案 。 2、评审标准： ①完整性：内容全面，对评审内容中的各项要求有详细描 述；②可行性：切合本项目实际情况，提出步骤清晰的方案；③针对性：紧扣项目实际情况需求，内容切实合理。 3评分标准： ①岗位职责：每完全满足一个评审标准得1.5分，基本满足一个评审标准得1分，部分满足一个评审标准得0.5分，不满足得0分，满分4.5分； ②内控制度：每完全满足一个评审标准得1.5分，基本满足一个评审标准得1分，部分满足一个评审标准得0.5分，不满足得0分，满分4.5分；③人员管理制度：每完全满足一个评审标准得1分，基本满足一个评审标准得0.5分，不满足得0分，满分3分；④财务管理制度：每完全满足一个评审标准得1分，基本满足一个评审标准得0.5分，不满足得0分，满分3分；⑤档案及社保管理方案 ：每完全满足一个评审标准得1分，基本满足一个评审标准得0.5分，不满足得0分，满分3分；</w:t>
            </w:r>
          </w:p>
        </w:tc>
        <w:tc>
          <w:tcPr>
            <w:tcW w:w="1384" w:type="dxa"/>
          </w:tcPr>
          <w:p w14:paraId="7BFE39CB">
            <w:pPr>
              <w:pStyle w:val="4"/>
              <w:jc w:val="right"/>
            </w:pPr>
            <w:r>
              <w:rPr>
                <w:rFonts w:ascii="仿宋_GB2312" w:hAnsi="仿宋_GB2312" w:eastAsia="仿宋_GB2312" w:cs="仿宋_GB2312"/>
              </w:rPr>
              <w:t>18.0000</w:t>
            </w:r>
          </w:p>
        </w:tc>
        <w:tc>
          <w:tcPr>
            <w:tcW w:w="1384" w:type="dxa"/>
          </w:tcPr>
          <w:p w14:paraId="7C142C33">
            <w:pPr>
              <w:pStyle w:val="4"/>
            </w:pPr>
            <w:r>
              <w:rPr>
                <w:rFonts w:ascii="仿宋_GB2312" w:hAnsi="仿宋_GB2312" w:eastAsia="仿宋_GB2312" w:cs="仿宋_GB2312"/>
              </w:rPr>
              <w:t>否</w:t>
            </w:r>
          </w:p>
        </w:tc>
      </w:tr>
      <w:tr w14:paraId="348A47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2A485A0B">
            <w:pPr>
              <w:pStyle w:val="4"/>
            </w:pPr>
            <w:r>
              <w:rPr>
                <w:rFonts w:ascii="仿宋_GB2312" w:hAnsi="仿宋_GB2312" w:eastAsia="仿宋_GB2312" w:cs="仿宋_GB2312"/>
              </w:rPr>
              <w:t>4</w:t>
            </w:r>
          </w:p>
        </w:tc>
        <w:tc>
          <w:tcPr>
            <w:tcW w:w="1384" w:type="dxa"/>
          </w:tcPr>
          <w:p w14:paraId="48D4EA6D">
            <w:pPr>
              <w:pStyle w:val="4"/>
            </w:pPr>
            <w:r>
              <w:rPr>
                <w:rFonts w:ascii="仿宋_GB2312" w:hAnsi="仿宋_GB2312" w:eastAsia="仿宋_GB2312" w:cs="仿宋_GB2312"/>
              </w:rPr>
              <w:t>详细评审</w:t>
            </w:r>
          </w:p>
        </w:tc>
        <w:tc>
          <w:tcPr>
            <w:tcW w:w="1384" w:type="dxa"/>
          </w:tcPr>
          <w:p w14:paraId="5EFAD8E3">
            <w:pPr>
              <w:pStyle w:val="4"/>
            </w:pPr>
            <w:r>
              <w:rPr>
                <w:rFonts w:ascii="仿宋_GB2312" w:hAnsi="仿宋_GB2312" w:eastAsia="仿宋_GB2312" w:cs="仿宋_GB2312"/>
              </w:rPr>
              <w:t>团队人员</w:t>
            </w:r>
          </w:p>
        </w:tc>
        <w:tc>
          <w:tcPr>
            <w:tcW w:w="1384" w:type="dxa"/>
          </w:tcPr>
          <w:p w14:paraId="6198995B">
            <w:pPr>
              <w:pStyle w:val="4"/>
            </w:pPr>
            <w:r>
              <w:rPr>
                <w:rFonts w:ascii="仿宋_GB2312" w:hAnsi="仿宋_GB2312" w:eastAsia="仿宋_GB2312" w:cs="仿宋_GB2312"/>
              </w:rPr>
              <w:t>1、评审内容：①人员配备数量及清单；②人员职责与分工； 2、评审标准： 完整性：内容须全面，对评审内容中的各项要求有详细描述； 可实施性：切合本项目实际情况，实施步骤清晰、合理； 针对性：方案能够紧扣项目实际情况，内容科学合理。 3、赋分标准（满分12分） ①人员配备数量及清单：每完全满足一个评审标准得2分，基本满足一个评审标准得1分，部分满足一个评审标准得0.5分，不满足得0分，满分6分；；②人员职责与分工：每完全满足一个评审标准得2分，基本满足一个评审标准得1分，部分满足一个评审标准得0.5分，不满足得0分，满分6分；</w:t>
            </w:r>
          </w:p>
        </w:tc>
        <w:tc>
          <w:tcPr>
            <w:tcW w:w="1384" w:type="dxa"/>
          </w:tcPr>
          <w:p w14:paraId="61CF4366">
            <w:pPr>
              <w:pStyle w:val="4"/>
              <w:jc w:val="right"/>
            </w:pPr>
            <w:r>
              <w:rPr>
                <w:rFonts w:ascii="仿宋_GB2312" w:hAnsi="仿宋_GB2312" w:eastAsia="仿宋_GB2312" w:cs="仿宋_GB2312"/>
              </w:rPr>
              <w:t>12.0000</w:t>
            </w:r>
          </w:p>
        </w:tc>
        <w:tc>
          <w:tcPr>
            <w:tcW w:w="1384" w:type="dxa"/>
          </w:tcPr>
          <w:p w14:paraId="4E7B3368">
            <w:pPr>
              <w:pStyle w:val="4"/>
            </w:pPr>
            <w:r>
              <w:rPr>
                <w:rFonts w:ascii="仿宋_GB2312" w:hAnsi="仿宋_GB2312" w:eastAsia="仿宋_GB2312" w:cs="仿宋_GB2312"/>
              </w:rPr>
              <w:t>否</w:t>
            </w:r>
          </w:p>
        </w:tc>
      </w:tr>
      <w:tr w14:paraId="4DA9B7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7F6A7953">
            <w:pPr>
              <w:pStyle w:val="4"/>
            </w:pPr>
            <w:r>
              <w:rPr>
                <w:rFonts w:ascii="仿宋_GB2312" w:hAnsi="仿宋_GB2312" w:eastAsia="仿宋_GB2312" w:cs="仿宋_GB2312"/>
              </w:rPr>
              <w:t>5</w:t>
            </w:r>
          </w:p>
        </w:tc>
        <w:tc>
          <w:tcPr>
            <w:tcW w:w="1384" w:type="dxa"/>
          </w:tcPr>
          <w:p w14:paraId="404B5793">
            <w:pPr>
              <w:pStyle w:val="4"/>
            </w:pPr>
            <w:r>
              <w:rPr>
                <w:rFonts w:ascii="仿宋_GB2312" w:hAnsi="仿宋_GB2312" w:eastAsia="仿宋_GB2312" w:cs="仿宋_GB2312"/>
              </w:rPr>
              <w:t>详细评审</w:t>
            </w:r>
          </w:p>
        </w:tc>
        <w:tc>
          <w:tcPr>
            <w:tcW w:w="1384" w:type="dxa"/>
          </w:tcPr>
          <w:p w14:paraId="3D26BBCB">
            <w:pPr>
              <w:pStyle w:val="4"/>
            </w:pPr>
            <w:r>
              <w:rPr>
                <w:rFonts w:ascii="仿宋_GB2312" w:hAnsi="仿宋_GB2312" w:eastAsia="仿宋_GB2312" w:cs="仿宋_GB2312"/>
              </w:rPr>
              <w:t>培训方案及项目应急预案</w:t>
            </w:r>
          </w:p>
        </w:tc>
        <w:tc>
          <w:tcPr>
            <w:tcW w:w="1384" w:type="dxa"/>
          </w:tcPr>
          <w:p w14:paraId="5AF750B0">
            <w:pPr>
              <w:pStyle w:val="4"/>
            </w:pPr>
            <w:r>
              <w:rPr>
                <w:rFonts w:ascii="仿宋_GB2312" w:hAnsi="仿宋_GB2312" w:eastAsia="仿宋_GB2312" w:cs="仿宋_GB2312"/>
              </w:rPr>
              <w:t>1、评审内容：①培训方案：包括但不限于不同的岗位职责、行为规范、服务礼仪等内容；②突发事件处理预案及风控措施：包括但不限于工伤事故、劳务纠纷等。 2、评审标准： 完整性：内容须全面，对评审内容中的各项要求有详细描述； 可实施性：切合本项目实际情况，实施步骤清晰、合理； 针对性：方案能够紧扣项目实际情况，内容科学合理。 3、赋分标准（满分9分） ①培训方案：每完全满足一个评审标准得1.5分，基本满足一个评审标准得1分，部分满足一个评审标准得0.5分，不满足得0分，满分4.5分； ②突发事件处理预案及风控措施：每完全满足一个评审标准得1.5分，基本满足一个评审标准得1分，部分满足一个评审标准得0.5分，不满足得0分，满分4.5分；</w:t>
            </w:r>
          </w:p>
        </w:tc>
        <w:tc>
          <w:tcPr>
            <w:tcW w:w="1384" w:type="dxa"/>
          </w:tcPr>
          <w:p w14:paraId="4CD7B58F">
            <w:pPr>
              <w:pStyle w:val="4"/>
              <w:jc w:val="right"/>
            </w:pPr>
            <w:r>
              <w:rPr>
                <w:rFonts w:ascii="仿宋_GB2312" w:hAnsi="仿宋_GB2312" w:eastAsia="仿宋_GB2312" w:cs="仿宋_GB2312"/>
              </w:rPr>
              <w:t>9.0000</w:t>
            </w:r>
          </w:p>
        </w:tc>
        <w:tc>
          <w:tcPr>
            <w:tcW w:w="1384" w:type="dxa"/>
          </w:tcPr>
          <w:p w14:paraId="4AAB798C">
            <w:pPr>
              <w:pStyle w:val="4"/>
            </w:pPr>
            <w:r>
              <w:rPr>
                <w:rFonts w:ascii="仿宋_GB2312" w:hAnsi="仿宋_GB2312" w:eastAsia="仿宋_GB2312" w:cs="仿宋_GB2312"/>
              </w:rPr>
              <w:t>否</w:t>
            </w:r>
          </w:p>
        </w:tc>
      </w:tr>
      <w:tr w14:paraId="42CE70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41FCF670">
            <w:pPr>
              <w:pStyle w:val="4"/>
            </w:pPr>
            <w:r>
              <w:rPr>
                <w:rFonts w:ascii="仿宋_GB2312" w:hAnsi="仿宋_GB2312" w:eastAsia="仿宋_GB2312" w:cs="仿宋_GB2312"/>
              </w:rPr>
              <w:t>6</w:t>
            </w:r>
          </w:p>
        </w:tc>
        <w:tc>
          <w:tcPr>
            <w:tcW w:w="1384" w:type="dxa"/>
          </w:tcPr>
          <w:p w14:paraId="31FD26AE">
            <w:pPr>
              <w:pStyle w:val="4"/>
            </w:pPr>
            <w:r>
              <w:rPr>
                <w:rFonts w:ascii="仿宋_GB2312" w:hAnsi="仿宋_GB2312" w:eastAsia="仿宋_GB2312" w:cs="仿宋_GB2312"/>
              </w:rPr>
              <w:t>详细评审</w:t>
            </w:r>
          </w:p>
        </w:tc>
        <w:tc>
          <w:tcPr>
            <w:tcW w:w="1384" w:type="dxa"/>
          </w:tcPr>
          <w:p w14:paraId="70D30D19">
            <w:pPr>
              <w:pStyle w:val="4"/>
            </w:pPr>
            <w:r>
              <w:rPr>
                <w:rFonts w:ascii="仿宋_GB2312" w:hAnsi="仿宋_GB2312" w:eastAsia="仿宋_GB2312" w:cs="仿宋_GB2312"/>
              </w:rPr>
              <w:t>服务承诺</w:t>
            </w:r>
          </w:p>
        </w:tc>
        <w:tc>
          <w:tcPr>
            <w:tcW w:w="1384" w:type="dxa"/>
          </w:tcPr>
          <w:p w14:paraId="1F9EB7DB">
            <w:pPr>
              <w:pStyle w:val="4"/>
            </w:pPr>
            <w:r>
              <w:rPr>
                <w:rFonts w:ascii="仿宋_GB2312" w:hAnsi="仿宋_GB2312" w:eastAsia="仿宋_GB2312" w:cs="仿宋_GB2312"/>
              </w:rPr>
              <w:t>1、承诺接受采购对所提供派遣人员服务的监督及建议，得2分；承诺定期调研采购人对服务质量的满意度并加以改进，确保服务工作的优质、高效，得2分。 2、为更好的服务于本项目及采购人，供应商对项目做出可行的合理化建议及其他增值服务承诺。合理化建议及其增值服务承诺内容详尽全面、合理可行，得4分；合理化建议及其增值服务承诺内容基本全面，可行，得2分；合理化建议及其增值服务承诺内容简单，可行性较差得1分；承诺内容存在严重缺陷，内容与本项目无关或未提供的，该项不得分。</w:t>
            </w:r>
          </w:p>
        </w:tc>
        <w:tc>
          <w:tcPr>
            <w:tcW w:w="1384" w:type="dxa"/>
          </w:tcPr>
          <w:p w14:paraId="4C43DFD7">
            <w:pPr>
              <w:pStyle w:val="4"/>
              <w:jc w:val="right"/>
            </w:pPr>
            <w:r>
              <w:rPr>
                <w:rFonts w:ascii="仿宋_GB2312" w:hAnsi="仿宋_GB2312" w:eastAsia="仿宋_GB2312" w:cs="仿宋_GB2312"/>
              </w:rPr>
              <w:t>8.0000</w:t>
            </w:r>
          </w:p>
        </w:tc>
        <w:tc>
          <w:tcPr>
            <w:tcW w:w="1384" w:type="dxa"/>
          </w:tcPr>
          <w:p w14:paraId="17FD4B85">
            <w:pPr>
              <w:pStyle w:val="4"/>
            </w:pPr>
            <w:r>
              <w:rPr>
                <w:rFonts w:ascii="仿宋_GB2312" w:hAnsi="仿宋_GB2312" w:eastAsia="仿宋_GB2312" w:cs="仿宋_GB2312"/>
              </w:rPr>
              <w:t>是</w:t>
            </w:r>
          </w:p>
        </w:tc>
      </w:tr>
      <w:tr w14:paraId="6D8932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4DAFC760">
            <w:pPr>
              <w:pStyle w:val="4"/>
            </w:pPr>
            <w:r>
              <w:rPr>
                <w:rFonts w:ascii="仿宋_GB2312" w:hAnsi="仿宋_GB2312" w:eastAsia="仿宋_GB2312" w:cs="仿宋_GB2312"/>
              </w:rPr>
              <w:t>7</w:t>
            </w:r>
          </w:p>
        </w:tc>
        <w:tc>
          <w:tcPr>
            <w:tcW w:w="1384" w:type="dxa"/>
          </w:tcPr>
          <w:p w14:paraId="52FD6A9D">
            <w:pPr>
              <w:pStyle w:val="4"/>
            </w:pPr>
            <w:r>
              <w:rPr>
                <w:rFonts w:ascii="仿宋_GB2312" w:hAnsi="仿宋_GB2312" w:eastAsia="仿宋_GB2312" w:cs="仿宋_GB2312"/>
              </w:rPr>
              <w:t>详细评审</w:t>
            </w:r>
          </w:p>
        </w:tc>
        <w:tc>
          <w:tcPr>
            <w:tcW w:w="1384" w:type="dxa"/>
          </w:tcPr>
          <w:p w14:paraId="4A7732AC">
            <w:pPr>
              <w:pStyle w:val="4"/>
            </w:pPr>
            <w:r>
              <w:rPr>
                <w:rFonts w:ascii="仿宋_GB2312" w:hAnsi="仿宋_GB2312" w:eastAsia="仿宋_GB2312" w:cs="仿宋_GB2312"/>
              </w:rPr>
              <w:t>业绩</w:t>
            </w:r>
          </w:p>
        </w:tc>
        <w:tc>
          <w:tcPr>
            <w:tcW w:w="1384" w:type="dxa"/>
          </w:tcPr>
          <w:p w14:paraId="08FFD9B3">
            <w:pPr>
              <w:pStyle w:val="4"/>
            </w:pPr>
            <w:r>
              <w:rPr>
                <w:rFonts w:ascii="仿宋_GB2312" w:hAnsi="仿宋_GB2312" w:eastAsia="仿宋_GB2312" w:cs="仿宋_GB2312"/>
              </w:rPr>
              <w:t>提供 2023年1月1日以来的类似业绩，提供合同（以加盖公章的合同复印件为准，弄虚作假者取消其成交资格），每提供一份计2分，最高得10分。</w:t>
            </w:r>
          </w:p>
        </w:tc>
        <w:tc>
          <w:tcPr>
            <w:tcW w:w="1384" w:type="dxa"/>
          </w:tcPr>
          <w:p w14:paraId="302CF9A7">
            <w:pPr>
              <w:pStyle w:val="4"/>
              <w:jc w:val="right"/>
            </w:pPr>
            <w:r>
              <w:rPr>
                <w:rFonts w:ascii="仿宋_GB2312" w:hAnsi="仿宋_GB2312" w:eastAsia="仿宋_GB2312" w:cs="仿宋_GB2312"/>
              </w:rPr>
              <w:t>10.0000</w:t>
            </w:r>
          </w:p>
        </w:tc>
        <w:tc>
          <w:tcPr>
            <w:tcW w:w="1384" w:type="dxa"/>
          </w:tcPr>
          <w:p w14:paraId="72624DD5">
            <w:pPr>
              <w:pStyle w:val="4"/>
            </w:pPr>
            <w:r>
              <w:rPr>
                <w:rFonts w:ascii="仿宋_GB2312" w:hAnsi="仿宋_GB2312" w:eastAsia="仿宋_GB2312" w:cs="仿宋_GB2312"/>
              </w:rPr>
              <w:t>是</w:t>
            </w:r>
          </w:p>
        </w:tc>
      </w:tr>
      <w:tr w14:paraId="283259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0B90FF09">
            <w:pPr>
              <w:pStyle w:val="4"/>
            </w:pPr>
            <w:r>
              <w:rPr>
                <w:rFonts w:ascii="仿宋_GB2312" w:hAnsi="仿宋_GB2312" w:eastAsia="仿宋_GB2312" w:cs="仿宋_GB2312"/>
              </w:rPr>
              <w:t>1</w:t>
            </w:r>
          </w:p>
        </w:tc>
        <w:tc>
          <w:tcPr>
            <w:tcW w:w="1384" w:type="dxa"/>
          </w:tcPr>
          <w:p w14:paraId="5FA2AA1F">
            <w:pPr>
              <w:pStyle w:val="4"/>
            </w:pPr>
            <w:r>
              <w:rPr>
                <w:rFonts w:ascii="仿宋_GB2312" w:hAnsi="仿宋_GB2312" w:eastAsia="仿宋_GB2312" w:cs="仿宋_GB2312"/>
              </w:rPr>
              <w:t>价格分</w:t>
            </w:r>
          </w:p>
        </w:tc>
        <w:tc>
          <w:tcPr>
            <w:tcW w:w="1384" w:type="dxa"/>
          </w:tcPr>
          <w:p w14:paraId="5855BC75">
            <w:pPr>
              <w:pStyle w:val="4"/>
            </w:pPr>
            <w:r>
              <w:rPr>
                <w:rFonts w:ascii="仿宋_GB2312" w:hAnsi="仿宋_GB2312" w:eastAsia="仿宋_GB2312" w:cs="仿宋_GB2312"/>
              </w:rPr>
              <w:t>价格分</w:t>
            </w:r>
          </w:p>
        </w:tc>
        <w:tc>
          <w:tcPr>
            <w:tcW w:w="1384" w:type="dxa"/>
          </w:tcPr>
          <w:p w14:paraId="77DDB09B">
            <w:pPr>
              <w:pStyle w:val="4"/>
            </w:pPr>
            <w:r>
              <w:rPr>
                <w:rFonts w:ascii="仿宋_GB2312" w:hAnsi="仿宋_GB2312" w:eastAsia="仿宋_GB2312" w:cs="仿宋_GB2312"/>
              </w:rPr>
              <w:t>价格分采用低价优先法计算，即满足采购文件要求且响应报价最低的报价为评标基准价，其价格分为满分。其他供应商的价格分统一按照下列公式计算： 报价得分=（评标基准价/响应报价）×价格权值×100%</w:t>
            </w:r>
          </w:p>
        </w:tc>
        <w:tc>
          <w:tcPr>
            <w:tcW w:w="1384" w:type="dxa"/>
          </w:tcPr>
          <w:p w14:paraId="774FD2F6">
            <w:pPr>
              <w:pStyle w:val="4"/>
              <w:jc w:val="right"/>
            </w:pPr>
            <w:r>
              <w:rPr>
                <w:rFonts w:ascii="仿宋_GB2312" w:hAnsi="仿宋_GB2312" w:eastAsia="仿宋_GB2312" w:cs="仿宋_GB2312"/>
              </w:rPr>
              <w:t>10.0000</w:t>
            </w:r>
          </w:p>
        </w:tc>
        <w:tc>
          <w:tcPr>
            <w:tcW w:w="1384" w:type="dxa"/>
          </w:tcPr>
          <w:p w14:paraId="090B55E0">
            <w:pPr>
              <w:pStyle w:val="4"/>
            </w:pPr>
            <w:r>
              <w:rPr>
                <w:rFonts w:ascii="仿宋_GB2312" w:hAnsi="仿宋_GB2312" w:eastAsia="仿宋_GB2312" w:cs="仿宋_GB2312"/>
              </w:rPr>
              <w:t>是</w:t>
            </w:r>
          </w:p>
        </w:tc>
      </w:tr>
    </w:tbl>
    <w:p w14:paraId="76261FBC">
      <w:pPr>
        <w:pStyle w:val="4"/>
      </w:pPr>
      <w:r>
        <w:rPr>
          <w:rFonts w:ascii="仿宋_GB2312" w:hAnsi="仿宋_GB2312" w:eastAsia="仿宋_GB2312" w:cs="仿宋_GB2312"/>
        </w:rPr>
        <w:t>10、合同管理安排</w:t>
      </w:r>
    </w:p>
    <w:p w14:paraId="4B9895DD">
      <w:pPr>
        <w:pStyle w:val="4"/>
        <w:ind w:firstLine="840"/>
      </w:pPr>
      <w:r>
        <w:rPr>
          <w:rFonts w:ascii="仿宋_GB2312" w:hAnsi="仿宋_GB2312" w:eastAsia="仿宋_GB2312" w:cs="仿宋_GB2312"/>
        </w:rPr>
        <w:t>1）合同类型：委托合同</w:t>
      </w:r>
    </w:p>
    <w:p w14:paraId="60E2ECE9">
      <w:pPr>
        <w:pStyle w:val="4"/>
        <w:ind w:firstLine="840"/>
      </w:pPr>
      <w:r>
        <w:rPr>
          <w:rFonts w:ascii="仿宋_GB2312" w:hAnsi="仿宋_GB2312" w:eastAsia="仿宋_GB2312" w:cs="仿宋_GB2312"/>
        </w:rPr>
        <w:t>2）合同履行期限： 合同签署之日起十个月</w:t>
      </w:r>
    </w:p>
    <w:p w14:paraId="0ED7CABF">
      <w:pPr>
        <w:pStyle w:val="4"/>
        <w:ind w:firstLine="840"/>
      </w:pPr>
      <w:r>
        <w:rPr>
          <w:rFonts w:ascii="仿宋_GB2312" w:hAnsi="仿宋_GB2312" w:eastAsia="仿宋_GB2312" w:cs="仿宋_GB2312"/>
        </w:rPr>
        <w:t>3）合同履约地点：西安市胡家庙军队离休退休干部休养所及各服务站点</w:t>
      </w:r>
    </w:p>
    <w:p w14:paraId="711EDC13">
      <w:pPr>
        <w:pStyle w:val="4"/>
        <w:ind w:firstLine="840"/>
      </w:pPr>
      <w:r>
        <w:rPr>
          <w:rFonts w:ascii="仿宋_GB2312" w:hAnsi="仿宋_GB2312" w:eastAsia="仿宋_GB2312" w:cs="仿宋_GB2312"/>
        </w:rPr>
        <w:t>4）支付方式：一次付清</w:t>
      </w:r>
    </w:p>
    <w:p w14:paraId="3A1B8D6C">
      <w:pPr>
        <w:pStyle w:val="4"/>
        <w:ind w:firstLine="840"/>
      </w:pPr>
      <w:r>
        <w:rPr>
          <w:rFonts w:ascii="仿宋_GB2312" w:hAnsi="仿宋_GB2312" w:eastAsia="仿宋_GB2312" w:cs="仿宋_GB2312"/>
        </w:rPr>
        <w:t>5）履约保证金及缴纳形式：</w:t>
      </w:r>
    </w:p>
    <w:p w14:paraId="42CBA2E0">
      <w:pPr>
        <w:pStyle w:val="4"/>
      </w:pPr>
      <w:r>
        <w:rPr>
          <w:rFonts w:ascii="仿宋_GB2312" w:hAnsi="仿宋_GB2312" w:eastAsia="仿宋_GB2312" w:cs="仿宋_GB2312"/>
        </w:rPr>
        <w:t>中标/成交供应商是否需要缴纳履约保证金：否</w:t>
      </w:r>
    </w:p>
    <w:p w14:paraId="5449E457">
      <w:pPr>
        <w:pStyle w:val="4"/>
        <w:ind w:firstLine="840"/>
      </w:pPr>
      <w:r>
        <w:rPr>
          <w:rFonts w:ascii="仿宋_GB2312" w:hAnsi="仿宋_GB2312" w:eastAsia="仿宋_GB2312" w:cs="仿宋_GB2312"/>
        </w:rPr>
        <w:t>6）质量保证金及缴纳形式：</w:t>
      </w:r>
    </w:p>
    <w:p w14:paraId="725675C7">
      <w:pPr>
        <w:pStyle w:val="4"/>
      </w:pPr>
      <w:r>
        <w:rPr>
          <w:rFonts w:ascii="仿宋_GB2312" w:hAnsi="仿宋_GB2312" w:eastAsia="仿宋_GB2312" w:cs="仿宋_GB2312"/>
        </w:rPr>
        <w:t>中标/成交供应商是否需要缴纳质量保证金：否</w:t>
      </w:r>
    </w:p>
    <w:p w14:paraId="0C831211">
      <w:pPr>
        <w:pStyle w:val="4"/>
        <w:ind w:firstLine="840"/>
      </w:pPr>
      <w:r>
        <w:rPr>
          <w:rFonts w:ascii="仿宋_GB2312" w:hAnsi="仿宋_GB2312" w:eastAsia="仿宋_GB2312" w:cs="仿宋_GB2312"/>
        </w:rPr>
        <w:t>7）合同支付约定：</w:t>
      </w:r>
    </w:p>
    <w:p w14:paraId="01DEC6A2">
      <w:pPr>
        <w:pStyle w:val="4"/>
      </w:pPr>
      <w:r>
        <w:rPr>
          <w:rFonts w:ascii="仿宋_GB2312" w:hAnsi="仿宋_GB2312" w:eastAsia="仿宋_GB2312" w:cs="仿宋_GB2312"/>
        </w:rPr>
        <w:t>采购包1：</w:t>
      </w:r>
    </w:p>
    <w:p w14:paraId="66D91C1D">
      <w:pPr>
        <w:pStyle w:val="4"/>
        <w:ind w:firstLine="1200"/>
      </w:pPr>
      <w:r>
        <w:rPr>
          <w:rFonts w:ascii="仿宋_GB2312" w:hAnsi="仿宋_GB2312" w:eastAsia="仿宋_GB2312" w:cs="仿宋_GB2312"/>
        </w:rPr>
        <w:t>1、进度款，本项目按月据实结算服务费，按照实际服务保障任务发生款项据实付款；不足一个月的按整月计算；在费用结算日之后发生的一切变动在下月进行结算和支付，达到付款条件起10个工作日内，支付合同总金额的100.0%</w:t>
      </w:r>
    </w:p>
    <w:p w14:paraId="2445035A">
      <w:pPr>
        <w:pStyle w:val="4"/>
        <w:ind w:firstLine="840"/>
      </w:pPr>
      <w:r>
        <w:rPr>
          <w:rFonts w:ascii="仿宋_GB2312" w:hAnsi="仿宋_GB2312" w:eastAsia="仿宋_GB2312" w:cs="仿宋_GB2312"/>
        </w:rPr>
        <w:t>8）验收交付标准和方法：按采购文件及合同约定执行</w:t>
      </w:r>
    </w:p>
    <w:p w14:paraId="11571109">
      <w:pPr>
        <w:pStyle w:val="4"/>
        <w:ind w:firstLine="840"/>
      </w:pPr>
      <w:r>
        <w:rPr>
          <w:rFonts w:ascii="仿宋_GB2312" w:hAnsi="仿宋_GB2312" w:eastAsia="仿宋_GB2312" w:cs="仿宋_GB2312"/>
        </w:rPr>
        <w:t>9）质量保修范围和保修期：按采购文件及合同约定执行</w:t>
      </w:r>
    </w:p>
    <w:p w14:paraId="21D9D629">
      <w:pPr>
        <w:pStyle w:val="4"/>
        <w:ind w:firstLine="840"/>
      </w:pPr>
      <w:r>
        <w:rPr>
          <w:rFonts w:ascii="仿宋_GB2312" w:hAnsi="仿宋_GB2312" w:eastAsia="仿宋_GB2312" w:cs="仿宋_GB2312"/>
        </w:rPr>
        <w:t>10）知识产权归属和处理方式：按国家及行业标准执行</w:t>
      </w:r>
    </w:p>
    <w:p w14:paraId="5F0802AC">
      <w:pPr>
        <w:pStyle w:val="4"/>
        <w:ind w:firstLine="840"/>
      </w:pPr>
      <w:r>
        <w:rPr>
          <w:rFonts w:ascii="仿宋_GB2312" w:hAnsi="仿宋_GB2312" w:eastAsia="仿宋_GB2312" w:cs="仿宋_GB2312"/>
        </w:rPr>
        <w:t>11）成本补偿和风险分担约定：按国家及行业标准执行</w:t>
      </w:r>
    </w:p>
    <w:p w14:paraId="536B2E25">
      <w:pPr>
        <w:pStyle w:val="4"/>
        <w:ind w:firstLine="840"/>
      </w:pPr>
      <w:r>
        <w:rPr>
          <w:rFonts w:ascii="仿宋_GB2312" w:hAnsi="仿宋_GB2312" w:eastAsia="仿宋_GB2312" w:cs="仿宋_GB2312"/>
        </w:rPr>
        <w:t>12）违约责任与解决争议的方法：按照合同约定内容执行</w:t>
      </w:r>
    </w:p>
    <w:p w14:paraId="7D7F2AB1">
      <w:pPr>
        <w:pStyle w:val="4"/>
        <w:ind w:firstLine="840"/>
      </w:pPr>
      <w:r>
        <w:rPr>
          <w:rFonts w:ascii="仿宋_GB2312" w:hAnsi="仿宋_GB2312" w:eastAsia="仿宋_GB2312" w:cs="仿宋_GB2312"/>
        </w:rPr>
        <w:t>13）合同其他条款：无</w:t>
      </w:r>
    </w:p>
    <w:p w14:paraId="4CEE58C5">
      <w:pPr>
        <w:pStyle w:val="4"/>
      </w:pPr>
      <w:r>
        <w:rPr>
          <w:rFonts w:ascii="仿宋_GB2312" w:hAnsi="仿宋_GB2312" w:eastAsia="仿宋_GB2312" w:cs="仿宋_GB2312"/>
        </w:rPr>
        <w:t>11、履约验收方案</w:t>
      </w:r>
    </w:p>
    <w:p w14:paraId="707D8CCE">
      <w:pPr>
        <w:pStyle w:val="4"/>
        <w:ind w:firstLine="840"/>
      </w:pPr>
      <w:r>
        <w:rPr>
          <w:rFonts w:ascii="仿宋_GB2312" w:hAnsi="仿宋_GB2312" w:eastAsia="仿宋_GB2312" w:cs="仿宋_GB2312"/>
        </w:rPr>
        <w:t>1）验收组织方式：自行验收</w:t>
      </w:r>
    </w:p>
    <w:p w14:paraId="3101D98F">
      <w:pPr>
        <w:pStyle w:val="4"/>
        <w:ind w:firstLine="840"/>
      </w:pPr>
      <w:r>
        <w:rPr>
          <w:rFonts w:ascii="仿宋_GB2312" w:hAnsi="仿宋_GB2312" w:eastAsia="仿宋_GB2312" w:cs="仿宋_GB2312"/>
        </w:rPr>
        <w:t>2）是否邀请本项目的其他供应商：否</w:t>
      </w:r>
    </w:p>
    <w:p w14:paraId="1D2F2DC3">
      <w:pPr>
        <w:pStyle w:val="4"/>
        <w:ind w:firstLine="840"/>
      </w:pPr>
      <w:r>
        <w:rPr>
          <w:rFonts w:ascii="仿宋_GB2312" w:hAnsi="仿宋_GB2312" w:eastAsia="仿宋_GB2312" w:cs="仿宋_GB2312"/>
        </w:rPr>
        <w:t>3）是否邀请专家：否</w:t>
      </w:r>
    </w:p>
    <w:p w14:paraId="20E89316">
      <w:pPr>
        <w:pStyle w:val="4"/>
        <w:ind w:firstLine="840"/>
      </w:pPr>
      <w:r>
        <w:rPr>
          <w:rFonts w:ascii="仿宋_GB2312" w:hAnsi="仿宋_GB2312" w:eastAsia="仿宋_GB2312" w:cs="仿宋_GB2312"/>
        </w:rPr>
        <w:t>4）是否邀请服务对象：否</w:t>
      </w:r>
    </w:p>
    <w:p w14:paraId="155ED925">
      <w:pPr>
        <w:pStyle w:val="4"/>
        <w:ind w:firstLine="840"/>
      </w:pPr>
      <w:r>
        <w:rPr>
          <w:rFonts w:ascii="仿宋_GB2312" w:hAnsi="仿宋_GB2312" w:eastAsia="仿宋_GB2312" w:cs="仿宋_GB2312"/>
        </w:rPr>
        <w:t>5）是否邀请第三方检测机构：否</w:t>
      </w:r>
    </w:p>
    <w:p w14:paraId="1E88D4CD">
      <w:pPr>
        <w:pStyle w:val="4"/>
        <w:ind w:firstLine="840"/>
      </w:pPr>
      <w:r>
        <w:rPr>
          <w:rFonts w:ascii="仿宋_GB2312" w:hAnsi="仿宋_GB2312" w:eastAsia="仿宋_GB2312" w:cs="仿宋_GB2312"/>
        </w:rPr>
        <w:t>6）履约验收程序：分段/分期验收</w:t>
      </w:r>
    </w:p>
    <w:p w14:paraId="7403C184">
      <w:pPr>
        <w:pStyle w:val="4"/>
        <w:ind w:firstLine="840"/>
      </w:pPr>
      <w:r>
        <w:rPr>
          <w:rFonts w:ascii="仿宋_GB2312" w:hAnsi="仿宋_GB2312" w:eastAsia="仿宋_GB2312" w:cs="仿宋_GB2312"/>
        </w:rPr>
        <w:t>7）履约验收时间：</w:t>
      </w:r>
    </w:p>
    <w:p w14:paraId="06E1D5E7">
      <w:pPr>
        <w:pStyle w:val="4"/>
      </w:pPr>
      <w:r>
        <w:rPr>
          <w:rFonts w:ascii="仿宋_GB2312" w:hAnsi="仿宋_GB2312" w:eastAsia="仿宋_GB2312" w:cs="仿宋_GB2312"/>
        </w:rPr>
        <w:t>供应商提出验收申请之日起5日内组织验收</w:t>
      </w:r>
    </w:p>
    <w:p w14:paraId="21388E7C">
      <w:pPr>
        <w:pStyle w:val="4"/>
        <w:ind w:firstLine="840"/>
      </w:pPr>
      <w:r>
        <w:rPr>
          <w:rFonts w:ascii="仿宋_GB2312" w:hAnsi="仿宋_GB2312" w:eastAsia="仿宋_GB2312" w:cs="仿宋_GB2312"/>
        </w:rPr>
        <w:t>8）验收组织的其他事项：按照合同约定内容执行</w:t>
      </w:r>
    </w:p>
    <w:p w14:paraId="51B8575B">
      <w:pPr>
        <w:pStyle w:val="4"/>
        <w:ind w:firstLine="840"/>
      </w:pPr>
      <w:r>
        <w:rPr>
          <w:rFonts w:ascii="仿宋_GB2312" w:hAnsi="仿宋_GB2312" w:eastAsia="仿宋_GB2312" w:cs="仿宋_GB2312"/>
        </w:rPr>
        <w:t>9）技术履约验收内容：按照合同约定内容执行</w:t>
      </w:r>
    </w:p>
    <w:p w14:paraId="0819DCF3">
      <w:pPr>
        <w:pStyle w:val="4"/>
        <w:ind w:firstLine="840"/>
      </w:pPr>
      <w:r>
        <w:rPr>
          <w:rFonts w:ascii="仿宋_GB2312" w:hAnsi="仿宋_GB2312" w:eastAsia="仿宋_GB2312" w:cs="仿宋_GB2312"/>
        </w:rPr>
        <w:t>10）商务履约验收内容：按照合同约定内容执行</w:t>
      </w:r>
    </w:p>
    <w:p w14:paraId="20B4D829">
      <w:pPr>
        <w:pStyle w:val="4"/>
        <w:ind w:firstLine="840"/>
      </w:pPr>
      <w:r>
        <w:rPr>
          <w:rFonts w:ascii="仿宋_GB2312" w:hAnsi="仿宋_GB2312" w:eastAsia="仿宋_GB2312" w:cs="仿宋_GB2312"/>
        </w:rPr>
        <w:t>11）履约验收标准：以采购文件、响应文件及签订合同要求为准</w:t>
      </w:r>
    </w:p>
    <w:p w14:paraId="2143B4CD">
      <w:pPr>
        <w:pStyle w:val="4"/>
        <w:ind w:firstLine="840"/>
      </w:pPr>
      <w:r>
        <w:rPr>
          <w:rFonts w:ascii="仿宋_GB2312" w:hAnsi="仿宋_GB2312" w:eastAsia="仿宋_GB2312" w:cs="仿宋_GB2312"/>
        </w:rPr>
        <w:t>12）履约验收其他事项：按照合同约定内容执行</w:t>
      </w:r>
    </w:p>
    <w:p w14:paraId="06A5A3E5">
      <w:pPr>
        <w:pStyle w:val="4"/>
        <w:outlineLvl w:val="2"/>
      </w:pPr>
      <w:r>
        <w:rPr>
          <w:rFonts w:ascii="仿宋_GB2312" w:hAnsi="仿宋_GB2312" w:eastAsia="仿宋_GB2312" w:cs="仿宋_GB2312"/>
          <w:b/>
          <w:sz w:val="28"/>
        </w:rPr>
        <w:t>五、风险控制措施和替代方案</w:t>
      </w:r>
    </w:p>
    <w:p w14:paraId="4A45E6EC">
      <w:pPr>
        <w:pStyle w:val="4"/>
        <w:ind w:firstLine="840"/>
      </w:pPr>
      <w:r>
        <w:rPr>
          <w:rFonts w:ascii="仿宋_GB2312" w:hAnsi="仿宋_GB2312" w:eastAsia="仿宋_GB2312" w:cs="仿宋_GB2312"/>
        </w:rPr>
        <w:t>该采购项目按照《政府采购需求管理办法》第二十五条规定，本项目是否需要组织风险判断、提出处置措施和替代方案：否</w:t>
      </w:r>
    </w:p>
    <w:p w14:paraId="5B0D4127">
      <w:pPr>
        <w:pStyle w:val="4"/>
      </w:pPr>
    </w:p>
    <w:p w14:paraId="62981BCA">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2344214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17</Pages>
  <Words>1997</Words>
  <Characters>2072</Characters>
  <Lines>0</Lines>
  <Paragraphs>0</Paragraphs>
  <TotalTime>1</TotalTime>
  <ScaleCrop>false</ScaleCrop>
  <LinksUpToDate>false</LinksUpToDate>
  <CharactersWithSpaces>2093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快乐猫</cp:lastModifiedBy>
  <dcterms:modified xsi:type="dcterms:W3CDTF">2026-06-09T02:59:38Z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eyJoZGlkIjoiM2NmYTlkNmQyOWE5NjNjOWY3Y2ZiMGFkYTc1MDQ4YzciLCJ1c2VySWQiOiIxNTE3ODQyNzU3In0=</vt:lpwstr>
  </property>
  <property fmtid="{D5CDD505-2E9C-101B-9397-08002B2CF9AE}" pid="4" name="ICV">
    <vt:lpwstr>1D8C26FC19D54836A0C7D6441AA1DB10_12</vt:lpwstr>
  </property>
</Properties>
</file>